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6B_432/2017 vom 22. November 2017</w:t>
      </w:r>
    </w:p>
    <w:p>
      <w:r>
        <w:t>Bundesgericht, 2017-11-22, DE</w:t>
      </w:r>
    </w:p>
    <w:p>
      <w:r>
        <w:rPr>
          <w:b/>
        </w:rPr>
        <w:t xml:space="preserve">Quelle: </w:t>
      </w:r>
      <w:r>
        <w:t>https://mcp.opencaselaw.ch/entscheid/bger_6B_432_2017</w:t>
      </w:r>
    </w:p>
    <w:p>
      <w:r>
        <w:t>FR: TF 6B_432/2017 du 22 novembre 2017</w:t>
      </w:r>
    </w:p>
    <w:p>
      <w:r>
        <w:t>IT: TF 6B_432/2017 del 22 novembre 2017</w:t>
      </w:r>
    </w:p>
    <w:p>
      <w:pPr>
        <w:pStyle w:val="Heading2"/>
      </w:pPr>
      <w:r>
        <w:t>Erwägungen</w:t>
      </w:r>
    </w:p>
    <w:p>
      <w:r>
        <w:rPr>
          <w:b/>
        </w:rPr>
        <w:t>E. 1.1</w:t>
      </w:r>
    </w:p>
    <w:p>
      <w:r>
        <w:t>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 Soweit der Sachverhalt und damit die Beweiswürdigung der Vorinstanz bestritten werden, hebt das Bundesgericht ein Urteil auf, wenn es willkürlich ist ( Art. 9 BV ),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317 E. 5.4, 369 E. 6.3; 140 III 264 E. 2.3).</w:t>
      </w:r>
    </w:p>
    <w:p>
      <w:r>
        <w:rPr>
          <w:b/>
        </w:rPr>
        <w:t>E. 1.2</w:t>
      </w:r>
    </w:p>
    <w:p>
      <w:r>
        <w:t>Das vorinstanzliche Berufungsverfahren wurde zutreffend im Rahmen von Art. 398 Abs. 4 StPO durchgeführt, so dass neue Behauptungen und Beweise nicht mehr vorgebracht werden konnten (zum Verfahren vor Bundesgericht Urteil 6B_152/2017 vom 20. April 2017 E. 1).</w:t>
      </w:r>
    </w:p>
    <w:p>
      <w:r>
        <w:t>Auch eingedenk einer bei Laienbeschwerden üblichen wohlwollenden Betrachtungsweise (Urteil 6B_1239/2016 vom 14. Juni 2017 E. 3.2 sowie 6B_280/2017 vom 9. Juni 2017 E. 2.2.2 f. zu einer kantonalen Beschwerde) ist Willkür nicht substanziiert (Urteil 6B_228/2017 vom 4. Juli 2017 E. 3.4 a.E.). Das aktenkundige Schreiben vom 8. September 2015 (Sachverhalt A.c) wurde von den kantonalen Gerichten berücksichtigt (Urteil S. 3). Massgebend bleibt der vorinstanzlich festgestellte Sachverhalt ( Art. 105 Abs. 1 BGG ).</w:t>
      </w:r>
    </w:p>
    <w:p>
      <w:r>
        <w:rPr>
          <w:b/>
        </w:rPr>
        <w:t>E. 1.3</w:t>
      </w:r>
    </w:p>
    <w:p>
      <w:r>
        <w:t>Die Verteidigung bestritt vor der Vorinstanz die Haltereigenschaft der Beschwerdeführerin gestützt auf Art. 78 Abs. 1 Verkehrszulassungsverordnung (VZV; SR 741.51), wonach sich die Haltereigenschaft nach den tatsächlichen Verhältnissen beurteilt, und behauptete, die erstinstanzliche Feststellung sei willkürlich, dass die Ermittlung des Fahrzeugführers mangels weiterführender Angaben seitens von A.________ nicht mit verhältnismässigem Aufwand möglich gewesen sei (Urteil S. 3). Die Staatsanwaltschaft führte dazu in ihrer Stellungnahme vom 16. Dezember 2016 aus, die Beschwerdeführerin habe bei telefonischer Kontaktaufnahme durch die Kantonspolizei die Kooperation durchwegs verweigert (act. 121). Im beigelegten Bericht hält die ermittelnde Polizeibeamtin fest, sie habe mehrmals versucht, mit A.________ und der Beschwerdeführerin Rücksprache zu nehmen. "Sie waren jedoch nicht bereit, mit mir zu sprechen." Auf eine Vorladung sei auf Grund dieser Sachlage verzichtet worden (act. 122).</w:t>
      </w:r>
    </w:p>
    <w:p>
      <w:r>
        <w:t>Der Verteidiger replizierte vor der Vorinstanz, die Beschwerdeführerin bestreite in aller Form, sich geweigert zu haben, mit der Polizei zu sprechen. Dies gelte im Übrigen auch für A.________ (act. 125). Der Verteidiger legte eine A.________ als Beschuldigten aufführende Einstellungsverfügung vom 24. Juni 2015 (Einstellung mangels Beweises der Täterschaft bzw. wegen Eintritts der Verjährung betreffend mehrfache einfache Verletzung der Verkehrsregeln, begangen am 12. Mai 2012 und am 14. September 2012 mit einem Personenwagen) ins Recht (act. 126). Diese Einstellungsverfügung belegt, dass der Lenker des Personenwagens mit dem in casu relevanten Kontrollschild nicht eruierbar war.</w:t>
      </w:r>
    </w:p>
    <w:p>
      <w:r>
        <w:rPr>
          <w:b/>
        </w:rPr>
        <w:t>E. 2.1</w:t>
      </w:r>
    </w:p>
    <w:p>
      <w:r>
        <w:t>Nach der Vorinstanz ist der Sachverhalt unbestritten und hat die Beschwerdeführerin selbst nicht als Lenkerin in den beanzeigten Fällen zu gelten. Die Erstinstanz habe zutreffend erwogen, es komme auf die im Fahrzeugausweis eingetragene Person an (Urteil S. 4).</w:t>
      </w:r>
    </w:p>
    <w:p>
      <w:r>
        <w:t>Die Beschwerdeführerin beharrt vor Bundesgericht auf ihrer Ansicht zur Haltereigenschaft gemäss Art. 78 Abs. 1 VZV und stützt sich dazu u.a. auf BGE 129 III 102 E. 2.1 und das dort zitierte Lehrwerk OFTINGER/STARK, Schweizerisches Haftpflichtrecht, Besonderer Teil, II/2, 4. Aufl., Zürich 1989, § 25 Rz. 71. Diese Belege betreffen die Haftung des Motorfahrzeughalters im Sinne von Art. 58, 59 SVG .</w:t>
      </w:r>
    </w:p>
    <w:p>
      <w:r>
        <w:rPr>
          <w:b/>
        </w:rPr>
        <w:t>E. 2.2</w:t>
      </w:r>
    </w:p>
    <w:p>
      <w:r>
        <w:t>Die Haltereigenschaft bestimmt sich in casu gemäss Art. 6 des Ordnungsbussengesetzes (OBG; SR 741.03). Die Bestimmung ist seit dem 1. Januar 2014 in Kraft und damit in der Sache anwendbar.</w:t>
      </w:r>
    </w:p>
    <w:p>
      <w:r>
        <w:t>Ist nicht bekannt, wer die Widerhandlung begangen hat, so wird die Busse dem im Fahrzeugausweis eingetragenen Fahrzeughalter auferlegt ( Art. 6 Abs. 1 OBG ). Nennt der Halter Name und Adresse des Fahrzeugführers, der zum Zeitpunkt der Widerhandlung das Fahrzeug geführt hat, so wird gegen diesen das Verfahren eingeleitet ( Art. 6 Abs. 4 OBG ). Kann mit verhältnismässigem Aufwand nicht festgestellt werden, wer der Fahrzeugführer ist, so ist die Busse vom Halter zu bezahlen, es sei denn, er macht im ordentlichen Strafverfahren glaubhaft, dass das Fahrzeug gegen seinen Willen benutzt wurde und er dies trotz entsprechender Sorgfalt nicht verhindern konnte ( Art. 6 Abs. 5 OBG ).</w:t>
      </w:r>
    </w:p>
    <w:p>
      <w:r>
        <w:t>In der Botschaft vom 20. Oktober 2010 zu Via sicura, Handlungsprogramm des Bundes für mehr Sicherheit im Strassenverkehr (BBl 2010 8447 ff.) wird klar gestellt, dass es nicht - wie im Haftpflichtrecht - auf die materielle Eigenschaft des Halters ankommt, sondern auf die formelle der im Fahrzeugausweis eingetragenen Person (BBl 2010 8517; Urteil 6B_1007/2016 vom 10. Mai 2017 E. 1.4). Bei den Angaben des Halters nach Art. 6 Abs. 4 OBG darf es sich nicht um eine wenig plausible Information handeln. Name und Adresse des Fahrzeugführers müssen vollständig sein. Es müssen genügend Angaben zur Identität des Fahrzeugführers gemacht werden, so dass dieser individualisierbar ist (BBl 2010 8487; Urteil 6B_1007/2016 vom 10. Mai 2017 E. 1.5).</w:t>
      </w:r>
    </w:p>
    <w:p>
      <w:r>
        <w:rPr>
          <w:b/>
        </w:rPr>
        <w:t>E. 2.3</w:t>
      </w:r>
    </w:p>
    <w:p>
      <w:r>
        <w:t>Somit ist entgegen der Argumentation der Beschwerdeführerin die formelle Haltereigenschaft massgebend. Sie ist unbestritten die im Fahrzeugausweis eingetragene Halterin. Die Rüge erweist sich als unbegründet.</w:t>
      </w:r>
    </w:p>
    <w:p>
      <w:r>
        <w:rPr>
          <w:b/>
        </w:rPr>
        <w:t>E. 3</w:t>
      </w:r>
    </w:p>
    <w:p>
      <w:r>
        <w:t>Die Beschwerde ist abzuweisen, soweit darauf eingetreten werden kann. Das Gesuch um unentgeltliche Rechtspflege (Gesuch um Kostenerlass) ist gutzuheissen. Für das bundesgerichtliche Verfahren sind keine Kosten zu erheben (Der nicht anwaltlich vertretenen Beschwerdeführerin ist keine Parteientschädigung zuzusprechen [vgl. Art. 64 Abs. 2 BGG ; Urteil 6B_170/2016 vom 5. August 2016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