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6B_431/2017 vom 15. Mai 2017</w:t>
      </w:r>
    </w:p>
    <w:p>
      <w:r>
        <w:t>Bundesgericht, 2017-05-15, FR</w:t>
      </w:r>
    </w:p>
    <w:p>
      <w:r>
        <w:rPr>
          <w:b/>
        </w:rPr>
        <w:t xml:space="preserve">Quelle: </w:t>
      </w:r>
      <w:r>
        <w:t>https://mcp.opencaselaw.ch/entscheid/bger_6B_431_2017</w:t>
      </w:r>
    </w:p>
    <w:p>
      <w:r>
        <w:t>FR: TF 6B_431/2017 du 15 mai 2017</w:t>
      </w:r>
    </w:p>
    <w:p>
      <w:r>
        <w:t>IT: TF 6B_431/2017 del 15 maggio 2017</w:t>
      </w:r>
    </w:p>
    <w:p>
      <w:pPr>
        <w:pStyle w:val="Heading2"/>
      </w:pPr>
      <w:r>
        <w:t>Erwägungen</w:t>
      </w:r>
    </w:p>
    <w:p>
      <w:r>
        <w:rPr>
          <w:b/>
        </w:rPr>
        <w:t>E. 1</w:t>
      </w:r>
    </w:p>
    <w:p>
      <w:r>
        <w:t>Déclarant agir au nom de X.________, Me Y.________ a déposé, le 31 mars 2017, un recours en matière pénale au Tribunal fédéral contre un jugement rendu par la Cour d'appel pénale du Tribunal cantonal vaudois le 23 janvier 2017 dans la procédure PE13.016279/HNI/AWL.</w:t>
      </w:r>
    </w:p>
    <w:p>
      <w:r>
        <w:rPr>
          <w:b/>
        </w:rPr>
        <w:t>E. 2</w:t>
      </w:r>
    </w:p>
    <w:p>
      <w:r>
        <w:t>A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 Par ordonnances des 4 et 26 avril 2017, le Président de la cour de céans a imparti à Me Y.________ un délai prolongé jusqu'au 4 mai 2017 afin de justifier de ses pouvoirs, lui précisant qu'à défaut, le mémoire serait déclaré irrecevable. Le délai ainsi imparti a échu sans que la procuration sollicitée n'ait été produite, de sorte que le présent recours doit être déclaré irrecevable selon la procédure simplifiée de l' art. 108 al. 1 let. a LTF .</w:t>
      </w:r>
    </w:p>
    <w:p>
      <w:r>
        <w:rPr>
          <w:b/>
        </w:rPr>
        <w:t>E. 3</w:t>
      </w:r>
    </w:p>
    <w:p>
      <w:r>
        <w:t>Causés inutilement, les frais de justice sont supportés par Me Y.________ qui a agi sans justifier de ses pouvoirs par une procuration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