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6B_430/2022 vom 23. August 2023</w:t>
      </w:r>
    </w:p>
    <w:p>
      <w:r>
        <w:t>Bundesgericht, 2023-08-23, FR</w:t>
      </w:r>
    </w:p>
    <w:p>
      <w:r>
        <w:rPr>
          <w:b/>
        </w:rPr>
        <w:t xml:space="preserve">Quelle: </w:t>
      </w:r>
      <w:r>
        <w:t>https://mcp.opencaselaw.ch/entscheid/bger_6B_430_2022</w:t>
      </w:r>
    </w:p>
    <w:p>
      <w:r>
        <w:t>FR: TF 6B_430/2022 du 23 août 2023</w:t>
      </w:r>
    </w:p>
    <w:p>
      <w:r>
        <w:t>IT: TF 6B_430/2022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24 PCF). En revanche, et dès lors que les arrêts cantonaux demeurent distincts, il n'y a pas lieu de joindre l'ensemble des causes concernant d'autres "zadistes", respectivement leur conseil.</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le recourant n° 1 a qualité pour recourir.</w:t>
      </w:r>
    </w:p>
    <w:p>
      <w:r>
        <w:t>S'agissant de la recourante n° 2, cette dernière revêt la qualité de prévenue ( art. 81 let. a et b ch. 1 LTF ). Est en particulier en cause, en ce qui la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la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du recourant n° 1 ne comporte pas le nom de la recourante n° 2, mais uniquement une désignation calquée sur celle de l'ordonnance pénale du 31 mars 2021, à savoir "B.________", ainsi qu'une signature illisible et des empreintes digitales. Force est donc de constater que cette dernière n'est pas formellement conforme aux exigences précitées.</w:t>
      </w:r>
    </w:p>
    <w:p>
      <w:r>
        <w:t>Les recourants font néanmoins état des spécificités de la cause, en qualifiant l'ordonnance pénale du 31 mars 2021 de "</w:t>
      </w:r>
    </w:p>
    <w:p>
      <w:r>
        <w:t>premier des maillons de l'étrange chaîne procédurale qui amène au[x] présent[s] recours ". On doit toutefois relever d'emblée que la situation procédurale inédite qui singularise la présente cause se trouve en réalité liée au refus de la recourante n° 2 de décliner son identité. D'un point de vue purement objectif, ce refus est en effet aussi bien à l'origine du libellé de l'ordonnance pénale en cause, s'agissant de la désignation de la recourante n° 2, que du motif d'irrecevabilité retenu dans l'arrêt attaqué - et avant lui dans le prononcé du Tribunal de police de l'arrondissement de La Côte du 12 novembre 2021 -, puisque celui-ci repose sur l'absence de procuration désignant nommément l'intéressée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w:t>
      </w:r>
    </w:p>
    <w:p>
      <w:r>
        <w:t>supra consid. 4.2), il convient d'examiner en priorité les griefs qui en sont tirés.</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prévenue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la recourante n° 2, à savoir "B.________", qui revêt un caractère pragmatique et qui était en définitive dictée par les circonstances, ne laisse subsister aucun risque de confusion en ce qui la concerne. Dans les circonstances particulières propres au cas d'espèce, la désignation en cause, qui trouve son origine dans le refus de la recourante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En référence aux art. 6 CEDH , 29 et 29a Cst. et 354 CPP, respectivement 396 CPP, les recourants soutiennent encore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de la recourante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en raison de son refus de décliner son identité. Son attitude aurait été susceptible d'avoir un effet sur les frais de la cause mais ne saurait,</w:t>
      </w:r>
    </w:p>
    <w:p>
      <w:r>
        <w:t>in fine , la priver de tout accès au juge. L'équité de la procédure en a été, quoi qu'il en soit, affectée. Il faut dès lors d'admettre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ou encore de son grief tiré d'une prétendue violation du droit à une audience publique.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