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42/2017 vom 30. August 2017</w:t>
      </w:r>
    </w:p>
    <w:p>
      <w:r>
        <w:t>Bundesgericht, 2017-08-30, DE</w:t>
      </w:r>
    </w:p>
    <w:p>
      <w:r>
        <w:rPr>
          <w:b/>
        </w:rPr>
        <w:t xml:space="preserve">Quelle: </w:t>
      </w:r>
      <w:r>
        <w:t>https://mcp.opencaselaw.ch/entscheid/bger_6B_42_2017</w:t>
      </w:r>
    </w:p>
    <w:p>
      <w:r>
        <w:t>FR: TF 6B 42/2017 du 30 août 2017</w:t>
      </w:r>
    </w:p>
    <w:p>
      <w:r>
        <w:t>IT: TF 6B 42/2017 del 30 agosto 2017</w:t>
      </w:r>
    </w:p>
    <w:p>
      <w:pPr>
        <w:pStyle w:val="Heading2"/>
      </w:pPr>
      <w:r>
        <w:t>Regeste</w:t>
      </w:r>
    </w:p>
    <w:p>
      <w:r>
        <w:t>Verletzung der Verkehrsregeln; Willkür, Anklageprinzip | Straftaten</w:t>
      </w:r>
    </w:p>
    <w:p>
      <w:pPr>
        <w:pStyle w:val="Heading2"/>
      </w:pPr>
      <w:r>
        <w:t>Erwägungen</w:t>
      </w:r>
    </w:p>
    <w:p>
      <w:r>
        <w:rPr>
          <w:b/>
        </w:rPr>
        <w:t>E. 1</w:t>
      </w:r>
    </w:p>
    <w:p>
      <w:r>
        <w:t>Der Beschwerdeführer macht eine willkürliche Sachverhaltsfeststellung ( Art. 9 BV ) sowie die Verletzung des Grundsatzes "in dubio pro reo" ( Art. 10 StPO , Art. 32 Abs. 1 BV , Art. 6 Ziff. 2 EMRK ) geltend (Beschwerde S. 5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Die Geschwindigkeitsüberschreitung von 24 km/h (nach Abzug) innerhalb einer Tempo-30-Zone ist unbestritten. Der Beschwerdeführer bog von der Hägglingerstrasse rechts in die Niederwilerstrasse in Richtung Niederwil ab. Die Vorinstanz stellt fest, dass das Signal "Tempo-30-Zone" und die einige Meter entfernt auf der Fahrbahn angebrachte Markierung "Zone 30" gut erkennbar waren. Der Beschwerdeführer nahm die Signalisation wahr und entschloss sich dennoch, die Strasse mit der gemessenen Geschwindigkeit zu befahren. Dessen Aussagen, die Signalisation nicht gesehen zu haben, qualifiziert die Vorinstanz wie bereits die erste Instanz als Schutzbehauptung (Entscheid S. 8 ff.).</w:t>
      </w:r>
    </w:p>
    <w:p>
      <w:r>
        <w:rPr>
          <w:b/>
        </w:rPr>
        <w:t>E. 1.3</w:t>
      </w:r>
    </w:p>
    <w:p>
      <w:r>
        <w:t>Was der Beschwerdeführer vorbringt, vermag weder Willkür bei der Sachverhaltsfeststellung noch eine Verletzung der Unschuldsvermutung zu begründen. Er argumentiert, die Zonensignalisation übersehen zu haben. Die Verkehrssituation sei für Ortsunkundige äusserst unübersichtlich. Er habe beim Rechtsabbiegen dem Verkehr auf der Niederwilerstrasse und zudem einem Fussgängerstreifen Beachtung schenken müssen. Damit wiederholt der Beschwerdeführer seinen Standpunkt im kantonalen Verfahren, den die Vorinstanz und die erste Instanz geprüft und verworfen haben. Macht er geltend, er habe glaubhaft dargelegt, die Signalisation übersehen zu haben, verkennt er, dass das Bundesgericht keine Appellationsinstanz ist, die eine freie Prüfung in rechtlicher und tatsächlicher Hinsicht vornimmt. Es reicht für die Rüge einer willkürlichen Beweiswürdigung nicht aus, wenn der Beschwerdeführer zum Beweisergebnis wie in einem appellatorischen Verfahren frei plädiert und darlegt, wie seiner Auffassung nach die vorhandenen Beweise richtigerweise zu würdigen gewesen wären. Dass die Zonensignalisation mittels Tafel und Bodenmarkierung laut Vorinstanz gut ersichtlich war und vom Beschwerdeführer wahrgenommen wurde, kann zweifelsohne nicht als unhaltbar bezeichnet werden. Der Beschwerdeführer bog von der Hägglingerstrasse rechts in die Niederwilerstrasse ab, musste den vortrittsbelasteten Verkehr von links beachten und fuhr wenige Meter vorher an einem Fussgängerstreifen vorbei. Er hatte ohne Zweifel kein komplexes Fahrmanöver zu bewältigen und von einer "äusserst unübersichtlichen" Verkehrssituation kann keine Rede sein. Die erste Instanz hält im Übrigen überzeugend fest, dass das Signal "Tempo-30-Zone" ca. 40 cm in die Strasse hinausragte und der Beschwerdeführer einen leichten Bogen nach links (entlang der die Fahrbahn verengenden Führungslinie) fahren musste, um nicht mit dem Sockel des Schilds zu kollidieren. Hat der Beschwerdeführer den Sockel mangels Kollision offensichtlich gesehen, ist es nicht unhaltbar, dass er auch die darauf angebrachte Tafel erblickt hat. Insgesamt zeigt der Beschwerdeführer nicht auf, dass und inwiefern das vorinstanzliche Beweisergebnis schlechterdings nicht mehr vertretbar sein sollte, und eine Verletzung der Unschuldsvermutung ist nicht ersichtlich. Die Beschwerde erweist sich als unbegründet, soweit sie überhaupt den Begründungsanforderungen von Art. 42 Abs. 2 und Art. 106 Abs. 2 BGG zu genügen vermag.</w:t>
      </w:r>
    </w:p>
    <w:p>
      <w:r>
        <w:rPr>
          <w:b/>
        </w:rPr>
        <w:t>E. 2.1</w:t>
      </w:r>
    </w:p>
    <w:p>
      <w:r>
        <w:t>Der Beschwerdeführer sieht das Anklageprinzip verletzt. Art. 90 Abs. 1 SVG stelle sowohl ein vorsätzliches als auch ein fahrlässiges Verhalten unter Strafe. In der Anklageschrift werde lediglich aufgeführt, er habe vorsätzlich, das heisst mit Wissen und Willen die Höchstgeschwindigkeit missachtet. Aus welchen inneren und äusseren Umständen sich dies ergeben soll, lege die Anklageschrift nicht dar. Er habe deshalb seine Verteidigungsrechte nicht angemessen ausüben können (Beschwerde S. 8 f.). Zur mit der schriftlichen Berufungsbegründung erhobenen Rüge hat sich die Vorinstanz aus nicht erkennbaren Gründen nicht geäussert.</w:t>
      </w:r>
    </w:p>
    <w:p>
      <w:r>
        <w:rPr>
          <w:b/>
        </w:rPr>
        <w:t>E. 2.2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w:t>
      </w:r>
    </w:p>
    <w:p>
      <w:r>
        <w:rPr>
          <w:b/>
        </w:rPr>
        <w:t>E. 2.3</w:t>
      </w:r>
    </w:p>
    <w:p>
      <w:r>
        <w:t>Der Beschwerdeführer rügt eine Verletzung des Anklageprinzips ohne Grund. Ihm wird im Strafbefehl der Staatsanwaltschaft Muri-Bremgarten vom 5. November 2015, welcher als Anklageschrift gilt ( Art. 356 Abs. 1 StPO ), vorgeworfen, die zulässige Höchstgeschwindigkeit mit Wissen und Willen missachtet und dadurch eine erhöhte abstrakte Gefahr geschaffen zu haben. Damit sind die subjektiven Tatbestandsmerkmale hinreichend umschrieben. Bei Vorsatzdelikten genügt die Behauptung, dass der Beschuldigte vorsätzlich oder mit Wissen und Willen handelte (Urteil 6B_1030/2015 vom 13. Januar 2017 E. 1.3 mit Hinweis; NIKLAUS SCHMID, Handbuch des schweizerischen Strafprozessrechts, 2. Aufl. 2013, N. 1267 Fn. 160; LANDSHUT/BOSSHARD, in: Kommentar zur Schweizerischen Strafprozessordnung, 2. Aufl. 2014, N. 12 zu Art. 325 StPO ; HEIMGARTNER/NIGGLI, in: Basler Kommentar, Schweizerische Strafprozessordnung, N. 33 zu Art. 325 StPO ; MOREILLON/PAREIN-REYMOND, CPP, Code de procédure pénale, 2. Aufl. 2016, N. 9 zu Art. 325 StPO ). Mithin verlässt die Vorinstanz nicht den angeklagten Sachverhalt. Es war für den Beschwerdeführer hinreichend klar, was ihm vorgeworfen wird. Er hat denn auch stets geltend gemacht, die Signalisation übersehen zu haben, womit er den Vorwurf der vorsätzlichen Tatbegehung bestritt. Dass und inwiefern ihm eine wirksame Verteidigung nicht möglich gewesen sein sollte, ist unter dem Gesichtspunkt des Anklagegrundsatzes weder aufgezeigt noch ersichtlich.</w:t>
      </w:r>
    </w:p>
    <w:p>
      <w:r>
        <w:rPr>
          <w:b/>
        </w:rPr>
        <w:t>E. 3.1</w:t>
      </w:r>
    </w:p>
    <w:p>
      <w:r>
        <w:t>Der Beschwerdeführer rügt eine unrichtige Anwendung von Art. 90 Abs. 1 in Verbindung mit Art. 100 Ziff. 1 SVG . Er sei durch die unübersichtliche Situation abgelenkt gewesen und habe nicht realisiert, dass er in eine Tempo-30-Zone hineingefahren sei. Auch das Bundesgericht gehe bei Geschwindigkeitsüberschreitungen nur zurückhaltend von einer (eventual-) vorsätzlichen Tatbegehung aus. Es sei nicht nachvollziehbar, dass die Vorinstanz eine vorsätzliche Verkehrsregelverletzung annehme. Vielmehr liege lediglich eine nicht angeklagte fahrlässige Tatbegehung vor (Beschwerde S. 10 f.).</w:t>
      </w:r>
    </w:p>
    <w:p>
      <w:r>
        <w:rPr>
          <w:b/>
        </w:rPr>
        <w:t>E. 3.2</w:t>
      </w:r>
    </w:p>
    <w:p>
      <w:r>
        <w:t>Mit Art. 90 Abs. 1 SVG wird die Verletzung von Verkehrsregeln unter Strafe gestellt. Es handelt sich um ein abstraktes Gefährdungsdelikt, das eine Handlung wegen ihrer typischen Gefährlichkeit allgemein mit Strafe bedroht, unabhängig davon, ob im konkreten Fall ein Rechtsgut in Gefahr gerät ( BGE 138 IV 258 E. 3.1.2 S. 265). Eine fahrlässige Tatbegehung genügt ( Art. 100 Ziff. 1 Abs. 1 SVG ).</w:t>
      </w:r>
    </w:p>
    <w:p>
      <w:r>
        <w:rPr>
          <w:b/>
        </w:rPr>
        <w:t>E. 3.3</w:t>
      </w:r>
    </w:p>
    <w:p>
      <w:r>
        <w:t>Laut Vorinstanz sah der Beschwerdeführer die fragliche Signalisation und wusste er deshalb, dass er eine Tempo-30-Zone befuhr. Zudem entschied sich der Beschwerdeführer zur gefahrenen Geschwindigkeit, was eine Geschwindigkeitsüberschreitung aus Unachtsamkeit ausschliesst. Der Beschwerdeführer will die Geschwindigkeitsbeschränkung nicht realisiert haben, womit er sich in unzulässiger Weise vom verbindlichen Sachverhalt der Vorinstanz ( Art. 105 Abs. 1 BGG ) entfernt, ohne eine willkürliche Beweiswürdigung aufzuzeigen. Inwiefern die Vorinstanz, indem sie seine Fahrweise als vorsätzliche einfache Verkehrsregelverletzung qualifiziert, Bundesrecht verletzt, legt der Beschwerdeführer nicht dar. Er setzt sich mit den vorinstanzlichen Erwägungen nicht auseinander, und seine Beschwerde genügt nicht den Anforderungen von Art. 42 Abs. 2 BGG . Selbst wenn darauf eingetreten werden könnte, ist eine Verletzung von Bundesrecht nicht ersichtlich. Es kann auf das vorinstanzliche Urteil verwiesen werden (Entscheid S. 9 f.).</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