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42/2015 vom 22. Juli 2015</w:t>
      </w:r>
    </w:p>
    <w:p>
      <w:r>
        <w:t>Bundesgericht, 2015-07-22, FR</w:t>
      </w:r>
    </w:p>
    <w:p>
      <w:r>
        <w:rPr>
          <w:b/>
        </w:rPr>
        <w:t xml:space="preserve">Quelle: </w:t>
      </w:r>
      <w:r>
        <w:t>https://mcp.opencaselaw.ch/entscheid/bger_6B_42_2015</w:t>
      </w:r>
    </w:p>
    <w:p>
      <w:r>
        <w:t>FR: TF 6B 42/2015 du 22 juillet 2015</w:t>
      </w:r>
    </w:p>
    <w:p>
      <w:r>
        <w:t>IT: TF 6B 42/2015 del 22 luglio 2015</w:t>
      </w:r>
    </w:p>
    <w:p>
      <w:pPr>
        <w:pStyle w:val="Heading2"/>
      </w:pPr>
      <w:r>
        <w:t>Regeste</w:t>
      </w:r>
    </w:p>
    <w:p>
      <w:r>
        <w:t>Fixation de la peine (tentative de meurtre) | Droit pénal (en général)</w:t>
      </w:r>
    </w:p>
    <w:p>
      <w:pPr>
        <w:pStyle w:val="Heading2"/>
      </w:pPr>
      <w:r>
        <w:t>Erwägungen</w:t>
      </w:r>
    </w:p>
    <w:p>
      <w:r>
        <w:rPr>
          <w:b/>
        </w:rPr>
        <w:t>E. 1</w:t>
      </w:r>
    </w:p>
    <w:p>
      <w:r>
        <w:t>L'intimé produit, à l'appui de ses déterminations, un rapport de comportement de la Prison de Bellechasse du 12 juin 2015, postérieur à l'arrêt attaqué. Sauf exceptions, dont aucune n'est réalisée en l'espèce, les moyens de preuve nouveaux sont irrecevables devant le Tribunal fédéral ( art. 99 al. 1 LTF ). Partant, le document en question est irrecevable.</w:t>
      </w:r>
    </w:p>
    <w:p>
      <w:r>
        <w:rPr>
          <w:b/>
        </w:rPr>
        <w:t>E. 2</w:t>
      </w:r>
    </w:p>
    <w:p>
      <w:r>
        <w:t>Invoquant une violation de l' art. 47 CP , en lien avec les art. 19 et 22 CP , le recourant conteste la peine infligée à l'intimé, qu'il juge trop clémente.</w:t>
      </w:r>
    </w:p>
    <w:p>
      <w:r>
        <w:rPr>
          <w:b/>
        </w:rPr>
        <w:t>E. 2.1</w:t>
      </w:r>
    </w:p>
    <w:p>
      <w:r>
        <w:t>En substance, la cour cantonale a retenu que l'intimé s'en était pris à un bien juridique particulièrement important, soit la vie, à la suite d'une dispute futile pour un tabouret. Elle a pris en considération le comportement de l'intimé avant et après l'agression, ainsi que le mode opératoire, l'attaque ayant eu lieu de manière violente, brutale et sans aucun signe précurseur pour la victime. Elle a souligné que le motif de l'agression était en totale disproportion avec l'attaque à la vie de la victime. Si, certes, l'intimé a présenté des excuses à la victime, il paraissait davantage préoccupé par son incarcération et par la crainte de perdre son autorisation de séjour. A décharge, la cour a pris en compte la situation personnelle de l'intimé, à savoir le contexte social et professionnel dans lequel il a grandi et vécu. Elle a également retenu qu'il avait entamé un suivi psychologique, toutefois "interrompu quelque temps". Par conséquent, elle a considéré que la faute de l'intimé était très grave. Néanmoins, sur la base d'une expertise réalisée le 5 mars 2013, la cour cantonale a admis que sa responsabilité était légèrement restreinte, de sorte que sa faute devait en définitive être considérée comme grave. Au vu des éléments qui précèdent, la cour cantonale a considéré que la peine de 6 ans fixée en première instance apparaissait comme exagérément sévère. De son point de vue, une peine privative de liberté de 9 ans sanctionnerait de façon adéquate le meurtre achevé, sanction qu'il convenait de réduire afin de tenir compte du fait que l'infraction était restée au stade de la tentative. Elle a ainsi estimé qu'une peine privative de liberté de 4½ ans était appropriée.</w:t>
      </w:r>
    </w:p>
    <w:p>
      <w:r>
        <w:rPr>
          <w:b/>
        </w:rPr>
        <w:t>E. 2.2</w:t>
      </w:r>
    </w:p>
    <w:p>
      <w:r>
        <w:t>Le recourant fait valoir que la cour cantonale a omis de prendre en compte certains éléments dans le cadre de la fixation de la peine. Il lui reproche ainsi de ne pas avoir retenu le comportement de l'intimé postérieurement à l'acte, qui démontrerait un mépris pour le sort de sa victime, voire un cynisme total, ainsi que d'avoir sous-estimé l'importance de l'écoulement du temps entre l'altercation verbale et la tentative de meurtre, qui dénoterait que " l'intimé a adopté un comportement rationnel, réfléchi, confinant à la préméditation ". Enfin, il lui fait grief d'avoir omis de tenir compte des antécédents de l'intimé.</w:t>
      </w:r>
    </w:p>
    <w:p>
      <w:r>
        <w:rPr>
          <w:b/>
        </w:rPr>
        <w:t>E. 2.2.1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19; 129 IV 6 consid. 6.1 p. 20). Plus la peine est élevée, plus la motivation doit être complète ( ATF 127 IV 101 consid. 2c p. 105).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60).</w:t>
      </w:r>
    </w:p>
    <w:p>
      <w:r>
        <w:rPr>
          <w:b/>
        </w:rPr>
        <w:t>E. 2.2.2</w:t>
      </w:r>
    </w:p>
    <w:p>
      <w:r>
        <w:t>Les deux premiers éléments cités par le recourant n'ont pas été méconnus par la cour cantonale, puisqu'ils sont mentionnés dans la partie "droit" de l'arrêt querellé (cf. arrêt, p. 9). Quant aux antécédents, il est indiqué, dans la partie "faits" (cf. arrêt, p. 2), que " la Cour s'est [...] fait produire un extrait actualisé du casier judiciaire du prévenu ". Partant, rien ne permet de penser qu'elle n'a pas accordé à ces éléments l'importance qui leur revient d'ordinaire au stade de la fixation de la peine. A cet égard, peu importe qu'ils n'apparaissent pas expressément dans la motivation de la peine mais ailleurs dans l'arrêt. La cour cantonale n'était en effet pas tenue de les répéter au stade de la fixation de la peine car le jugement forme un tout et on admet que le juge garde à l'esprit l'ensemble des éléments qui y figurent (cf. parmi de nombreux arrêts: 6B_532/2012 du 8 avril 2013 consid. 6.1; 6B_85/2013 du 4 mars 2013 consid. 3.5; 6S.492/2006 du 20 mars 2007 consid. 3.3). Pour le surplus, on ne discerne pas en quoi, et le recourant ne l'expose pas, ces éléments auraient dus être appréciés plus largement. Le grief du recourant doit par conséquent être rejeté.</w:t>
      </w:r>
    </w:p>
    <w:p>
      <w:r>
        <w:rPr>
          <w:b/>
        </w:rPr>
        <w:t>E. 2.3</w:t>
      </w:r>
    </w:p>
    <w:p>
      <w:r>
        <w:t>Le recourant s'en prend à la qualification de la faute de l'intimé. Il considère que le mépris dont celui-ci a fait montre envers la vie de sa victime, le temps écoulé entre son départ du café et son retour, l'arme utilisée pour parvenir à ses fins et son comportement immédiatement après les faits doivent compenser intégralement la faible diminution de responsabilité. Ainsi, la cour cantonale aurait dû retenir une culpabilité très lourde. Partant, la peine de base aurait dû être notablement supérieure à 9 ans.</w:t>
      </w:r>
    </w:p>
    <w:p>
      <w:r>
        <w:rPr>
          <w:b/>
        </w:rPr>
        <w:t>E. 2.3.1</w:t>
      </w:r>
    </w:p>
    <w:p>
      <w:r>
        <w:t>Selon l' art. 19 al. 2 CP , le juge atténue la peine si, au moment d'agir, l'auteur ne possédait que partiellement la faculté d'apprécier le caractère illicite de son acte ou de se déterminer d'après cette appréciation.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2.3.2</w:t>
      </w:r>
    </w:p>
    <w:p>
      <w:r>
        <w:t>En l'espèce, la cour cantonale a tenu compte de la responsabilité légèrement diminuée de l'intimé dans une juste proportion et conformément à la jurisprudence évoquée, dès lors qu'elle a qualifié sa faute de grave en lieu et place de très grave. Partant, contrairement à ce que le recourant soutient, on ne saurait considérer qu'elle a violé l' art. 19 al. 2 CP . Quant à la peine de base de 9 ans, si certes elle se situe dans la limite inférieure pour une culpabilité qualifiée de lourde, on ne saurait toutefois considérer qu'elle procède d'un abus du large pouvoir d'appréciation qui est conféré à la cour cantonale. Le grief du recourant est rejeté.</w:t>
      </w:r>
    </w:p>
    <w:p>
      <w:r>
        <w:rPr>
          <w:b/>
        </w:rPr>
        <w:t>E. 2.4</w:t>
      </w:r>
    </w:p>
    <w:p>
      <w:r>
        <w:t>Enfin, le recourant considère que l'atténuation de la peine (9 ans à 4½ ans) en raison de la tentative est particulièrement choquante. De son point de vue, l'arrêt attaqué ne permet pas de comprendre les raisons pour lesquelles la cour cantonale a opté pour une réduction aussi massive, alors même que l'intimé a tout fait pour que l'infraction soit consommée.</w:t>
      </w:r>
    </w:p>
    <w:p>
      <w:r>
        <w:rPr>
          <w:b/>
        </w:rPr>
        <w:t>E. 2.4.1</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p. 103).</w:t>
      </w:r>
    </w:p>
    <w:p>
      <w:r>
        <w:rPr>
          <w:b/>
        </w:rPr>
        <w:t>E. 2.4.2</w:t>
      </w:r>
    </w:p>
    <w:p>
      <w:r>
        <w:t>Il résulte de l'arrêt querellé que, pour tenir compte du fait que l'infraction est restée au stade de la tentative, la cour cantonale a réduit la peine de l'intimé de 9 ans à 4½ ans, soit de moitié. Ce faisant, elle a omis de prendre en compte des éléments pertinents dans l'examen de la mesure de l'atténuation, à savoir, en premier lieu, l'imminence du résultat, l'intimé ayant commis tous les actes nécessaires à la réalisation de l'infraction. Ce n'est que par chance qu'aucun organe vital de la victime n'a été atteint et, sans l'intervention des secours, le coup aurait pu entraîner la mort. En second lieu, la cour cantonale a omis les conséquences de l'acte de l'intimé. En effet, les lésions subies par la victime (lésions de l'artère gastro-épiploïque et d'une branche de la colique moyenne, perforation nette unique infracentimétrique au niveau du colon) ont entraîné la présence de sang dans la cavité abdominale, avec formation d'un volumineux hématome, et dans l'ampoule rectale. Lors de son arrivée au service des urgences, elle présentait un début de choc hypovolémique et a dû se soumettre à un remplissage volémique (jugement de première instance, p. 13). Ainsi, au vu de l'ensemble des circonstances précitées et de la jurisprudence susmentionnée (cf. supra consid. 2.4.1), la réduction de peine due au fait que l'on avait affaire à une tentative ne devait être que minime, et non de moitié, ce d'autant qu'aucun autre élément ne permettait de justifier une telle réduction. En effet, si l'intimé a certes manifesté des regrets, ils semblaient davantage porter sur les effets de son acte sur son propre sort que sur celui de sa victime. Il a également fortement minimisé ses agissements puisque, devant l'instance cantonale encore, il faisait plaider que ceux-ci étaient constitutifs de lésions corporelles simples. Son attitude au cours de la procédure dénote ainsi une faible prise de conscience de son acte. Sur le vu de ce qui précède, la cour cantonale a violé le droit fédéral en réduisant de 9 ans à 4½ ans la peine privative de liberté infligée à l'intimé. Il lui appartiendra par conséquent de fixer une nouvelle peine sur la base des éléments susmentionnés, dans la limite de l'interdiction de la reformatio in pejus , le recourant n'ayant pas interjeté d'appel par devant elle.</w:t>
      </w:r>
    </w:p>
    <w:p>
      <w:r>
        <w:rPr>
          <w:b/>
        </w:rPr>
        <w:t>E. 3</w:t>
      </w:r>
    </w:p>
    <w:p>
      <w:r>
        <w:t>Le ministère public, qui obtient ainsi gain de cause, ne saurait se voir allouer de dépens ( art. 68 al. 3 LTF ). La requête d'assistance judiciaire de X.________ doit être admise au vu de sa situation financière et une indemnité appropriée doit être accordée à son conseil d'office, à charge de la caisse du Tribunal fédéral ( art. 64 al. 2 LTF ). L'intimé est toutefois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