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428/2022 vom 14. Dezember 2022</w:t>
      </w:r>
    </w:p>
    <w:p>
      <w:r>
        <w:t>Bundesgericht, 2022-12-14, FR</w:t>
      </w:r>
    </w:p>
    <w:p>
      <w:r>
        <w:rPr>
          <w:b/>
        </w:rPr>
        <w:t xml:space="preserve">Quelle: </w:t>
      </w:r>
      <w:r>
        <w:t>https://mcp.opencaselaw.ch/entscheid/bger_6B_428_2022</w:t>
      </w:r>
    </w:p>
    <w:p>
      <w:r>
        <w:t>FR: TF 6B 428/2022 du 14 décembre 2022</w:t>
      </w:r>
    </w:p>
    <w:p>
      <w:r>
        <w:t>IT: TF 6B 428/2022 del 14 dicembre 2022</w:t>
      </w:r>
    </w:p>
    <w:p>
      <w:pPr>
        <w:pStyle w:val="Heading2"/>
      </w:pPr>
      <w:r>
        <w:t>Regeste</w:t>
      </w:r>
    </w:p>
    <w:p>
      <w:r>
        <w:t>Opposition à une ordonnance pénale (infraction à la LEI, etc.); fictionde la notification | Droit pénal (en général)</w:t>
      </w:r>
    </w:p>
    <w:p>
      <w:pPr>
        <w:pStyle w:val="Heading2"/>
      </w:pPr>
      <w:r>
        <w:t>Erwägungen</w:t>
      </w:r>
    </w:p>
    <w:p>
      <w:r>
        <w:rPr>
          <w:b/>
        </w:rPr>
        <w:t>E. 1</w:t>
      </w:r>
    </w:p>
    <w:p>
      <w:r>
        <w:t>Invoquant une violation des art. 29, 29a, 30 et 36 Cst., le recourant conteste que la fiction de notification de l' art. 85 al. 4 let. a CPP puisse être appliquée à l'ordonnance pénale qui lui a été expédiée à une adresse inexacte. Le recourant ne démontre pas en quoi la cour cantonale aurait violé les dispositions constitutionnelles qu'il cite. L'argumentation du recourant se confond avec une prétendue violation de l' art. 85 CPP , qu'il invoque aussi, et n'a pas de portée plus étendue. L'examen portera sur cette seule disposition.</w:t>
      </w:r>
    </w:p>
    <w:p>
      <w:r>
        <w:rPr>
          <w:b/>
        </w:rPr>
        <w:t>E. 1.1</w:t>
      </w:r>
    </w:p>
    <w:p>
      <w:r>
        <w:t>Selon l' art. 85 CPP , sauf disposition contraire du CPP, les communications des autorités pénales sont notifiées en la forme écrite (al. 1); les autorités pénales notifient leurs prononcés - dont les ordonnances (cf. art. 80 al. 1 2 ème phrase 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 art. 87 al. 1 CPP ). Selon l' art. 85 al. 4 let. a CPP ,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Il est admis que la personne concernée doit s'attendre à la remise d'un prononcé lorsqu'elle est au courant qu'elle fait l'objet d'une instruction pénale au sens de l' art. 309 CPP ( ATF 146 IV 30 consid. 1.1.2; arrêt 6B_1154/2021 du 10 octobre 2022 consid. 1.1 et les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6B_1154/2021 précité consid. 1.1; 6B_1391/2021 du 25 avril 2022 consid. 1.1 et les arrêts cités).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rPr>
          <w:b/>
        </w:rPr>
        <w:t>E. 1.2</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que le Tribunal fédéral ne peut revoir que sous l'angle de l'arbitraire ( ATF 142 IV 201 consid. 2.3; arrêts 6B_517/2021 du 16 juin 2021 consid. 1.1.2; 6B_233/2017 du 12 décembre 2017 consid. 2.3.2).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 Track &amp; Trace ", ou encore lorsque la date du dépôt de l'avis de retrait enregistrée dans le système " Track &amp; Trace " ne correspondait pas à la date du dépôt effectif de dit avis dans la case postale du conseil du recourant (arrêts 1C_552/2018 du 24 octobre 2018 consid. 3.2; 5A_28/2015 du 22 mai 2015 consid. 3.1.2 et les arrêts cités).</w:t>
      </w:r>
    </w:p>
    <w:p>
      <w:r>
        <w:rPr>
          <w:b/>
        </w:rPr>
        <w:t>E. 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1.4</w:t>
      </w:r>
    </w:p>
    <w:p>
      <w:r>
        <w:t>La cour cantonale a retenu que le recourant avait été entendu par la police le 11 août 2021 en qualité de prévenu, de sorte qu'il se savait partie à une procédure pénale en cours et devait s'attendre à recevoir une décision judiciaire, ce qu'il ne conteste du reste pas.</w:t>
      </w:r>
    </w:p>
    <w:p>
      <w:r>
        <w:rPr>
          <w:b/>
        </w:rPr>
        <w:t>E. 1.5</w:t>
      </w:r>
    </w:p>
    <w:p>
      <w:r>
        <w:t>Le recourant se borne à affirmer que l'ordonnance pénale aurait été expédiée à une adresse inexacte. A ce sujet, la cour cantonale a indiqué q u'il ressortait certes du dossier que le type de voie donné pour adresse était erroné - rue au lieu de route - et que le patronyme du logeur était mal orthographié - " B.________ (sans la dernière lettre) " au lieu de " B.________ "; il s'agissait néanmoins d'un nom et d'une adresse fournis par le recourant lui-même, de sa main, dans la demande de visa figurant au dossier. La cour cantonale a ensuite expliqué qu'il était constant que le pli contenant la décision avait été retourné à son expéditeur avec les mentions " avisé pour retrait " et " non réclamé ", à l'exclusion de toute indication permettant de penser que le destinataire n'avait pas pu être atteint à l'adresse et au nom indiqués sur l'envoi, telle que, par exemple " introuvable " ou " inconnu à cette adresse ". Le fait que la fenêtre de l'enveloppe comportait une rature n'apparaissait ainsi pas pertinent. En effet, la rature de l'adresse pouvait vraisemblablement s'expliquer par la nécessité du réacheminement. Au surplus, le nom du recourant - destinataire de la décision - était correctement orthographié, le numéro de la voie publique exact et, contrairement à ce que soutenait le recourant, le code postal n'était pas omis. Il ressortait du reste du suivi des envois de la Poste que le pli litigieux avait été acheminé à la bonne localité (yyyy X.________). Dans ces circonstances, la cour cantonale a retenu que les inexactitudes - mineures - contenues dans l'adressage du pli litigieux n'avaient pas induit l'employé postal en erreur.</w:t>
      </w:r>
    </w:p>
    <w:p>
      <w:r>
        <w:rPr>
          <w:b/>
        </w:rPr>
        <w:t>E. 1.6</w:t>
      </w:r>
    </w:p>
    <w:p>
      <w:r>
        <w:t>En l'espèce, il incombait dès lors au recourant de démontrer dans son recours devant le Tribunal fédéral, qu'une telle constatation des faits était arbitraire ( art. 9 Cst. ). Or, le recourant se borne à affirmer que l'ordonnance pénale aurait été expédiée à une adresse inexacte, sans autres explications. De cette manière, il ne démontre pas en quoi le raisonnement de l'autorité précédente - concernant les inexactitudes mineures contenues dans l'adresse - serait insoutenable. Dans la mesure où il s'agit d'une appréciation de fait, qui ne fait pas l'objet d'un grief d'arbitraire, sa critique est irrecevable ( art. 106 al. 2 LTF ). Pour le reste, le recourant ne signale aucune erreur concrète de distribution qui serait imputable au facteur ou à l'office de poste. Ainsi, il ne fait valoir aucune circonstance qui permettrait, avec le degré de vraisemblance prépondérante requis, de renverser la présomption selon laquelle l'invitation à retirer l'envoi recommandé contenant l'ordonnance pénale a été déposée dans sa boîte aux lettres, à l'adresse et au nom qu'il avait par ailleurs fournis pour sa demande de visa. Au demeurant, comme l'a relevé à juste titre la cour cantonale, la décision avait été retournée à son expéditeur avec les mentions " avisé pour retrait " et " non réclamé ", ce que le recourant ne conteste d'ailleurs pas. Il s'ensuit que la cour cantonale pouvait, sans arbitraire, considérer que les éléments avancés par le recourant ne suffisaient pas à renverser la présomption de fait (cf. supra consid. 1.2) selon laquelle l'employé postal avait correctement inséré l'avis de retrait dans sa boîte aux lettres et que la date de ce dépôt - telle qu'elle figurait sur le relevé du suivi postal - était exacte.</w:t>
      </w:r>
    </w:p>
    <w:p>
      <w:r>
        <w:rPr>
          <w:b/>
        </w:rPr>
        <w:t>E. 1.7</w:t>
      </w:r>
    </w:p>
    <w:p>
      <w:r>
        <w:t>La cour cantonale pouvait ainsi, sans violer l' art. 85 al. 4 let. a CPP , considérer que l'ordonnance pénale avait été notifiée à l'échéance du délai de 7 jours à compter de la tentative infructueuse de remise du pli et que dès lors l'opposition était tardive (cf. art. 354 al. 1 CPP ) et donc irrecevable.</w:t>
      </w:r>
    </w:p>
    <w:p>
      <w:r>
        <w:rPr>
          <w:b/>
        </w:rPr>
        <w:t>E. 2</w:t>
      </w:r>
    </w:p>
    <w:p>
      <w:r>
        <w:t>Au vu de ce qui précède, 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