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428/2009 vom 9. Juli 2009</w:t>
      </w:r>
    </w:p>
    <w:p>
      <w:r>
        <w:t>Bundesgericht, 2009-07-09, FR</w:t>
      </w:r>
    </w:p>
    <w:p>
      <w:r>
        <w:rPr>
          <w:b/>
        </w:rPr>
        <w:t xml:space="preserve">Quelle: </w:t>
      </w:r>
      <w:r>
        <w:t>https://mcp.opencaselaw.ch/entscheid/bger_6B_428_2009</w:t>
      </w:r>
    </w:p>
    <w:p>
      <w:r>
        <w:t>FR: TF 6B 428/2009 du 9 juillet 2009</w:t>
      </w:r>
    </w:p>
    <w:p>
      <w:r>
        <w:t>IT: TF 6B 428/2009 del 9 luglio 2009</w:t>
      </w:r>
    </w:p>
    <w:p>
      <w:pPr>
        <w:pStyle w:val="Heading2"/>
      </w:pPr>
      <w:r>
        <w:t>Regeste</w:t>
      </w:r>
    </w:p>
    <w:p>
      <w:r>
        <w:t>Refus de la libération conditionnelle | Exécution des peines et des mesures</w:t>
      </w:r>
    </w:p>
    <w:p>
      <w:pPr>
        <w:pStyle w:val="Heading2"/>
      </w:pPr>
      <w:r>
        <w:t>Erwägungen</w:t>
      </w:r>
    </w:p>
    <w:p>
      <w:r>
        <w:rPr>
          <w:b/>
        </w:rPr>
        <w:t>E. 1</w:t>
      </w:r>
    </w:p>
    <w:p>
      <w:r>
        <w:t>Le recourant reproche à l'autorité cantonale d'avoir émis un pronostic défavorable quant à son comportement futur en liberté, pour n'avoir pas tenu compte, d'une part, des incidences de la procédure d'extradition à la France dont il fait l'objet et, d'autre part, du fait qu'il est frappé d'une interdiction d'entrée en Suisse jusqu'en 2013. Il ajoute que ce sont des infractions contre le patrimoine, et non contre l'intégrité physique ou sexuelle, qui lui ont été reprochées et que celles qu'il a commises ne pouvaient être considérées comme graves que sur la base d'une expertise psychiatrique, qui n'aurait toutefois pas été ordonnée.</w:t>
      </w:r>
    </w:p>
    <w:p>
      <w:r>
        <w:rPr>
          <w:b/>
        </w:rPr>
        <w:t>E. 1.1</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203/204 et les arrêts cités).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1.2</w:t>
      </w:r>
    </w:p>
    <w:p>
      <w:r>
        <w:t>En l'espèce, et cela n'est pas contesté, l'autorité cantonale a tenu compte non seulement des antécédents du recourant, mais aussi et même essentiellement de sa personnalité et de son attitude face à ses actes. A cet égard, elle n'a pu que constater que le recourant se cantone dans un déni total de toute culpabilité, tant en ce qui concerne les faits à la base de sa condamnation en Suisse que ceux pour lesquels il a été condamné par le passé en France, qu'il ne manifeste aucune prise de conscience de ses actes ni le moindre signe d'amendement et qu'il continue à reporter sa faute sur les autres. Elle a également constaté que le recourant n'a formulé, pour le futur, aucun projet concret qui soit valable, persistant à affirmer vouloir vivre du revenu des activités de la société qu'il a utilisée pour commettre l'une des infractions à la base de sa condamnation. Fondée sur ces constats et sur les antécédents du recourant, l'autorité cantonale n'a certes pas abusé de son pouvoir d'appréciation en concluant à l'existence d'un risque de réitération particulièrement important, conduisant à émettre un pronostic défavorable.</w:t>
      </w:r>
    </w:p>
    <w:p>
      <w:r>
        <w:rPr>
          <w:b/>
        </w:rPr>
        <w:t>E. 1.3</w:t>
      </w:r>
    </w:p>
    <w:p>
      <w:r>
        <w:t>Les arguments avancés par le recourant sont inaptes à infirmer cette conclusion. Il est sans pertinence, au vu du but de la libération conditionnelle, qui est de favoriser la réinsertion de l'intéressé par le réapprentissage de la vie en liberté, et non de permettre à l'autorité de se débarrasser au plus vite de lui, comme semble le penser le recourant, que ce dernier fasse l'objet d'une demande d'extradition de la part de son pays et qu'il soit frappé d'une interdiction d'entrée en Suisse jusqu'en 2013. Le recourant argue par ailleurs en vain du fait qu'il a été condamné pour des infractions contre le patrimoine, et non contre l'intégrité physique ou sexuelle d'autrui. En soi, la nature des infractions à l'origine de la condamnation ne joue pas de rôle, dès lors que la libération conditionnelle ne saurait être exclue ou rendue plus difficile pour certains types d'infractions ( ATF 125 IV 113 consid. 2a p. 115; 119 IV 5 consid. 1b p. 8). Quant à l'importance du bien juridique menacé, elle n'est déterminante que pour évaluer si l'on peut prendre le risque d'une récidive, qui est inhérent à toute libération, qu'elle soit conditionnelle ou définitive. A cet égard, contrairement à l'opinion du recourant, le risque que l'on peut admettre est généralement moindre si l'auteur s'en est pris à l'intégrité physique d'autrui que s'il a commis des infractions contre le patrimoine ( ATF 125 IV 113 consid. 2a p. 116; 124 IV 193 consid. 3 p. 195). De toute manière, le risque de réitération constaté dans le cas d'espèce est suffisamment important pour conclure à un pronostic défavorable, excluant l'octroi de la libération conditionnelle. Au reste, le recourant ne saurait à l'évidence revenir, dans le cadre de la présente procédure, sur la gravité des infractions qu'il a commises.</w:t>
      </w:r>
    </w:p>
    <w:p>
      <w:r>
        <w:rPr>
          <w:b/>
        </w:rPr>
        <w:t>E. 2</w:t>
      </w:r>
    </w:p>
    <w:p>
      <w:r>
        <w:t>Sur le vu de ce qui précède, le recours doit être rejeté. Comme ses conclusions étaient d'emblée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