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427/2022 vom 11. April 2023</w:t>
      </w:r>
    </w:p>
    <w:p>
      <w:r>
        <w:t>Bundesgericht, 2023-04-11, FR</w:t>
      </w:r>
    </w:p>
    <w:p>
      <w:r>
        <w:rPr>
          <w:b/>
        </w:rPr>
        <w:t xml:space="preserve">Quelle: </w:t>
      </w:r>
      <w:r>
        <w:t>https://mcp.opencaselaw.ch/entscheid/bger_6B_427_2022</w:t>
      </w:r>
    </w:p>
    <w:p>
      <w:r>
        <w:t>FR: TF 6B 427/2022 du 11 avril 2023</w:t>
      </w:r>
    </w:p>
    <w:p>
      <w:r>
        <w:t>IT: TF 6B 427/2022 del 11 aprile 2023</w:t>
      </w:r>
    </w:p>
    <w:p>
      <w:pPr>
        <w:pStyle w:val="Heading2"/>
      </w:pPr>
      <w:r>
        <w:t>Regeste</w:t>
      </w:r>
    </w:p>
    <w:p>
      <w:r>
        <w:t>Irrecevabilité formelle du recours en matière pénale; défaut de qualité pour recourir | Infractions</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1.1.1</w:t>
      </w:r>
    </w:p>
    <w:p>
      <w:r>
        <w:t>En vertu de l' art. 335 CP , les cantons conservent le pouvoir de légiférer sur les contraventions de police qui ne sont pas l'objet de la législation fédérale. Dans le canton de Vaud, les communes sont tenues d'avoir un règlement de police (art. 94 al. 1 de la Loi vaudoise du 28 février 1956 sur les communes; ci-après: "LC"; RSV 175.11). C'est ainsi que la commune de U.________ en adopté, le 24 février 2020, le Règlement général de police dont il est question en l'espèce.</w:t>
      </w:r>
    </w:p>
    <w:p>
      <w:r>
        <w:rPr>
          <w:b/>
        </w:rPr>
        <w:t>E. 1.1.2</w:t>
      </w:r>
    </w:p>
    <w:p>
      <w:r>
        <w:t>Puisque le CPP ne règle la poursuite et le jugement par les autorités pénales de la Confédération et des cantons que des infractions prévues par le droit fédéral ( art. 1 al. 1 CPP ), les cantons restent libres de déterminer la procédure applicable à la répression des contraventions édictées sur la base de l' art. 335 CP , même si un renvoi total ou partiel au CPP a été jugé souhaitable (Message du Conseil fédéral du 21 décembre 2005 relatif à l'unification du droit de la procédure pénale, FF 2006 1057, ch. 2.1.1 p. 1103). Dans le cas du canton de Vaud, l'art. 30 de la Loi vaudoise du 19 mai 2009 d'introduction du Code de procédure pénale suisse (RSV 312.01) prévoit que la procédure pénale régissant la poursuite et le jugement des infractions de droit fédéral s'applique par analogie aux infractions de droit cantonal. De même, l'art. 10 al. 1 de la Loi vaudoise du 19 mai 2009 sur les contraventions (ci-après: "LContr"; RSV 312.11) prévoit que le CPP est applicable à la répression des contraventions de droit cantonal et communal (cf. également l'art. 45 al. 1 LC, selon lequel la procédure applicable aux règlements de police communaux est réglée par la LContr), sauf disposition contraire.</w:t>
      </w:r>
    </w:p>
    <w:p>
      <w:r>
        <w:rPr>
          <w:b/>
        </w:rPr>
        <w:t>E. 1.1.3</w:t>
      </w:r>
    </w:p>
    <w:p>
      <w:r>
        <w:t>Il ne faut pas perdre de vue que si un canton choisit d'appliquer, par renvoi, le CPP aux infractions de droit cantonal et/ou communal, celui-ci ne s'appliquera alors qu'à titre de droit cantonal supplétif, et non de manière directe (arrêts 6B_1295/2020 du 26 mai 2021 consid. 5.2 non publié in ATF 147 IV 297 ; 6B_404/2014 du 5 juin 2015 consid. 1.1). Que la législation vaudoise prévoie que les contraventions commises en rapport avec des crimes ou des délits, y compris de droit cantonal, soient poursuivies et jugées en même temps que ceux-ci par le ministère public et les tribunaux (art. 8 al. 1 LContr), n'y change rien. Cette commodité procédurale ne saurait avoir pour effet de modifier la nature du CPP appliqué à titre de droit cantonal supplétif pour les infractions de droit cantonal. Les infractions fédérales sont soumises au CPP et les infractions cantonales, quant à elles, restent régies par le CPP valant droit cantonal supplétif. Chaque type d'infraction est soumis à un régime procédural distinct, quand bien même elles sont traitées ensemble (arrêt 6B_1295/2020 précité consid. 5.2).</w:t>
      </w:r>
    </w:p>
    <w:p>
      <w:r>
        <w:rPr>
          <w:b/>
        </w:rPr>
        <w:t>E. 1.2</w:t>
      </w:r>
    </w:p>
    <w:p>
      <w:r>
        <w:t>En l'espèce, alors que le recourant a renoncé à appeler du jugement de première instance, le ministère public l'a fait uniquement pour faire constater qu'il s'était rendu coupable d'infractions au Règlement général de police de la commune de U.________. De ce fait, l'appel principal a limité l'objet du litige soumis à la cour cantonale à des questions de droit cantonal, respectivement communal, auxquelles le CPP ne s'appliquait qu'à titre supplétif. Dans un deuxième temps, le recourant a formé un appel joint, concluant, d'une part au rejet de l'appel du ministère public, lequel portait, on le rappelle, exclusivement sur des questions de droit cantonal, respectivement communal, auxquelles le CPP ne s'appliquait qu'à titre supplétif, et, d'autre part, à ce qu'il soit libéré des infractions à la LEp et à l'aOrdonnance COVID-19 situation particulière, deux actes de droit fédéral auxquels s'appliquent directement le CPP. Compte tenu de ce qui précède, l'appel joint du recourant était recevable uniquement en tant qu'il concernait les infractions au Règlement général de police de la commune de U.________, par une application supplétive de l' art. 401 CPP , mais pas en tant qu'il concernait des infractions de droit fédéral. En effet, l'application supplétive d'une disposition du CPP ne peut avoir aucune influence sur des infractions de droit fédéral, compte tenu du régime procédural distinct qui leur est applicable. En d'autres termes, si le recourant souhaitait contester sa condamnation pour infractions à la LEp et à l'aOrdonnance COVID-19 situation particulière, il lui incombait d'appeler lui-même du jugement de première instance, à titre principal et en application directe du CPP. Une contestation par la voie d'un appel joint n'eût été possible que si le ministère public avait soumis à la cour cantonale des griefs relatifs tant aux infractions cantonales (ou communales), que fédérales.</w:t>
      </w:r>
    </w:p>
    <w:p>
      <w:r>
        <w:rPr>
          <w:b/>
        </w:rPr>
        <w:t>E. 1.3</w:t>
      </w:r>
    </w:p>
    <w:p>
      <w:r>
        <w:t>La qualité pour recourir est subordonnée aux deux conditions cumulatives suivantes: Formellement, la partie recourante doit avoir pris part à la procédure devant l'autorité précédente ou avoir été privée de le faire ( art. 81 al. 1 let. a LTF ). Matériellement, elle doit avoir un intérêt juridique à l'annulation ou à la modification de la décision attaquée ( art. 81 al. 1 let. b LTF ).</w:t>
      </w:r>
    </w:p>
    <w:p>
      <w:r>
        <w:rPr>
          <w:b/>
        </w:rPr>
        <w:t>E. 1.4</w:t>
      </w:r>
    </w:p>
    <w:p>
      <w:r>
        <w:t>Dans le cas d'espèce, puisque le recourant ne soulève devant le Tribunal fédéral que des griefs en lien avec sa condamnation pour infractions à la LEp et à l'aOrdonnance COVID-19 situation particulière, il ne saurait se prévaloir d'un intérêt juridique à l'annulation ou à la modification du jugement attaqué, à défaut de voies de droit au niveau cantonal (cf. supra consid. 1.2), ce indépendamment du fait que la cour cantonale ait néanmoins traité les griefs soulevés par celui-ci, dans la mesure où elle a rejeté tant l'appel principal du ministère public que l'appel joint du recourant.</w:t>
      </w:r>
    </w:p>
    <w:p>
      <w:r>
        <w:rPr>
          <w:b/>
        </w:rPr>
        <w:t>E. 2</w:t>
      </w:r>
    </w:p>
    <w:p>
      <w:r>
        <w:t>Le recours est irrecevable.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