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6B_427/2017 vom 15. November 2017</w:t>
      </w:r>
    </w:p>
    <w:p>
      <w:r>
        <w:t>Bundesgericht, 2017-11-15, FR</w:t>
      </w:r>
    </w:p>
    <w:p>
      <w:r>
        <w:rPr>
          <w:b/>
        </w:rPr>
        <w:t xml:space="preserve">Quelle: </w:t>
      </w:r>
      <w:r>
        <w:t>https://mcp.opencaselaw.ch/entscheid/bger_6B_427_2017</w:t>
      </w:r>
    </w:p>
    <w:p>
      <w:r>
        <w:t>FR: TF 6B_427/2017 du 15 novembre 2017</w:t>
      </w:r>
    </w:p>
    <w:p>
      <w:r>
        <w:t>IT: TF 6B_427/2017 del 15 novembre 2017</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Si la partie plaignante se plaint d'infractions distinctes, elle doit mentionner, pour chacune d'elles, en quoi consiste son dommage. Si ce dernier n'est motivé qu'en ce qui concerne l'une des infractions, le recours est irrecevable pour les autres (arrêts 6B_1100/2016 du 25 octobre 2017 consid. 1.2; 6B_548/2016 du 29 mai 2017 consid. 1.1).</w:t>
      </w:r>
    </w:p>
    <w:p>
      <w:r>
        <w:rPr>
          <w:b/>
        </w:rPr>
        <w:t>E. 1.2</w:t>
      </w:r>
    </w:p>
    <w:p>
      <w:r>
        <w:t>En l'espèce, la recourante a participé à la procédure cantonale en tant que partie plaignante. Elle n'a pas, dans ce cadre, pris de conclusions civiles. La recourante indique qu'elle entend demander à X.________ la réparation d'un dommage qu'elle chiffre à 78'000 francs. Elle ne précise cependant pas dans quelle mesure les différents postes du dommage qu'elle évoque découleraient de l'infraction d'appropriation illégitime, respectivement de celle d'abus de confiance, ces deux infractions étant, selon l'intéressée, "intimement liées". On comprend du mémoire de recours qu'une somme de 73'228 fr. 30 - correspondant à un apport financier pour la société B.________ SA - aurait été accaparée par X.________ au moyen d'un abus de confiance. Pour le reste, on ignore dans quelle mesure le dommage allégué par la recourante - consistant dans la disparition de divers meubles, vêtements ou accessoires - découlerait d'une infraction d'abus de confiance ou d'appropriation illégitime. Partant, la qualité pour recourir de l'intéressée paraît douteuse s'agissant de cette dernière infraction. La question peut cependant être laissée ouverte, dès lors que le recours doit de toute manière être rejeté pour les motifs suivants (cf. consid. 2.3 et 2.4 infra).</w:t>
      </w:r>
    </w:p>
    <w:p>
      <w:r>
        <w:rPr>
          <w:b/>
        </w:rPr>
        <w:t>E. 2</w:t>
      </w:r>
    </w:p>
    <w:p>
      <w:r>
        <w:t>La recourante reproche à la cour cantonale d'avoir violé les art. 137 et 138 CP , en relation avec l' art. 310 al. 1 let. a CPP et l' art. 5 al. 1 Cst.</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 art. 306 et 307 CPP ) - même diligentées à l'initiative du procureur - si les conditions de l' art. 310 al. 1 let. a CPP sont réunies. Selon la jurisprudence, cette disposition doit être appliquée conformément à l'adage in dubio pro duriore (arrêt 6B_572/2016 du 26 juin 2017 consid. 2.1.1 et la référence citée).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2.2.1 p. 243; 138 IV 86 consid. 4.1.2 p. 91; 186 consid. 4.1 p. 190).</w:t>
      </w:r>
    </w:p>
    <w:p>
      <w:r>
        <w:t>Selon l' art. 137 ch. 1 CP ,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w:t>
      </w:r>
    </w:p>
    <w:p>
      <w:r>
        <w:t>L' art. 138 CP réprime le comportement de celui qui, pour se procurer ou procurer à un tiers un enrichissement illégitime, se sera approprié une chose mobilière appartenant à autrui et qui lui avait été confiée (ch. 1 al. 1), ou de celui qui, sans droit, aura employé à son profit ou au profit d'un tiers des valeurs patrimoniales qui lui avaient été confiées (ch. 1 al. 2).</w:t>
      </w:r>
    </w:p>
    <w:p>
      <w:r>
        <w:rPr>
          <w:b/>
        </w:rPr>
        <w:t>E. 2.2</w:t>
      </w:r>
    </w:p>
    <w:p>
      <w:r>
        <w:t>La cour cantonale a considéré qu'il n'apparaissait pas que la recourante avait confié à X.________ les effets personnels laissés dans son appartement, non plus que les bottes et chaussures qui se trouvaient selon elle dans la boutique exploitée par C.________ SA, ce qui excluait l'application de l' art. 138 CP à cet égard. En outre, le prénommé avait restitué divers effets de la recourante à la police, ce qui démontrait qu'il n'avait pas l'intention de les incorporer à sa garde-robe ou aux éléments de décor de son commerce.</w:t>
      </w:r>
    </w:p>
    <w:p>
      <w:r>
        <w:t>Selon l'autorité précédente, la recourante avait indiqué qu'il lui manquait encore une ceinture et une paire de collants, mais rien ne permettait de penser que ces effets étaient restés dans l'appartement de X.________ ni, s'agissant des collants, qu'ils n'auraient pas fait partie des objets restitués par le prénommé à la police, celui-ci ayant indiqué avoir rendu l'intégralité des affaires de son ex-compagne. Il en allait de même s'agissant des bottes et chaussures qui auraient été laissées dans la boutique gérée par X.________. Pour le reste, aucun indice ne permettait de corroborer les dires de l'un ou l'autre des protagonistes, de sorte que les éléments constitutifs d'une appropriation illégitime ne paraissaient pas réalisés.</w:t>
      </w:r>
    </w:p>
    <w:p>
      <w:r>
        <w:t>A propos du mobilier garnissant la boutique exploitée par C.________ SA, la cour cantonale a considéré que la recourante avait établi avoir acquis un banc de lit ainsi qu'une commode, mais que rien ne permettait de retenir que ces effets auraient été installés dans l'espace commercial concerné. Par ailleurs, la recourante avait expliqué avoir mis ce mobilier à disposition de X.________ à titre d'apport en nature pour la société. Ainsi, indépendamment de la question de savoir si cette mise à disposition constituait un investissement ou un prêt à usage, il apparaissait que le mobilier avait été utilisé aux fins prévues par les parties et qu'aucun indice ne laissait à penser que X.________ était sur le point d'aliéner ces biens sans contrepartie ou de les aliéner.</w:t>
      </w:r>
    </w:p>
    <w:p>
      <w:r>
        <w:t>S'agissant de l'argent fourni par la recourante en vue de la création d'un commerce, l'autorité précédente a considéré que ces fonds avaient bien été affectés à l'exploitation de la boutique, ce que l'intéressée n'avait pas démenti. Les éléments constitutifs d'une infraction d'abus de confiance n'étaient ainsi pas réunis.</w:t>
      </w:r>
    </w:p>
    <w:p>
      <w:r>
        <w:rPr>
          <w:b/>
        </w:rPr>
        <w:t>E. 2.3</w:t>
      </w:r>
    </w:p>
    <w:p>
      <w:r>
        <w:t>Concernant l'infraction d'appropriation illégitime, la recourante se contente d'affirmer qu'elle n'aurait pas, à ce jour, récupéré "la totalité de ses biens personnels" laissés dans l'ancien appartement commun du couple. Ce faisant, elle n'indique pas quels effets seraient concernés, ni quels éléments permettraient de soupçonner que ceux-ci pourraient encore se trouver dans l'appartement de X.________. La recourante ne précise pas, en particulier, quels objets figurant sur la liste dressée dans sa plainte du 31 mars 2016 lui feraient encore actuellement défaut. En outre, contrairement à ce que prétend la recourante, le fait que le ministère public ait indiqué, dans son ordonnance de non-entrée en matière, que X.________ avait fait preuve de mauvaise foi en prétendant devant la police que les effets personnels de l'intéressée étaient tenus à sa disposition sur simple demande, ne constitue pas un indice de la commission d'une infraction. En effet, comme l'a relevé la cour cantonale, il n'apparaît pas que X.________ aurait cherché à s'approprier des objets appartenant à la recourante, ni à se procurer ou procurer à un tiers un quelconque enrichissement. Partant, l'autorité précédente a considéré à bon droit qu'il n'existait pas d'indices permettant de soupçonner qu'une infraction à l' art. 137 CP pouvait avoir été commise. Elle pouvait, sans violer le droit fédéral, confirmer l'ordonnance de non-entrée en matière du 6 décembre 2016 sur ce point. Mal fondé, le grief doit être rejeté.</w:t>
      </w:r>
    </w:p>
    <w:p>
      <w:r>
        <w:rPr>
          <w:b/>
        </w:rPr>
        <w:t>E. 2.4</w:t>
      </w:r>
    </w:p>
    <w:p>
      <w:r>
        <w:t>La recourante admet avoir confié à X.________ du mobilier afin de garnir la boutique de la société C.________ SA, mais soutient que cet apport aurait été fait en vue d'une "exploitation commune", laquelle ne serait "manifestement plus d'actualité". Elle indique en outre avoir "investi dans la société B.________ SA (devenue C.________ SA), sous forme de prêt octroyé à Monsieur X.________", la somme de 73'228 fr. 30.</w:t>
      </w:r>
    </w:p>
    <w:p>
      <w:r>
        <w:t>La recourante n'indique pas si les choses mobilières et les valeurs patrimoniales litigieuses ont été prêtées à C.________ SA ou à X.________ personnellement, ou si elles constituaient un apport dans la société précitée. Elle ne précise ainsi nullement si ces choses et valeurs auraient été incorporées au patrimoine de X.________ ou à celui de la société. Quoi qu'il en soit, qu'il s'agisse d'un prêt ou d'un apport effectué en vue de la constitution d'une société, aucun élément ne permet de penser que le prénommé se serait approprié les choses mobilières ni qu'il aurait employé à son profit ou au profit d'un tiers les valeurs patrimoniales concernées. X.________ a d'ailleurs reconnu que la recourante était son associée et disposait, à ce titre, de parts sociales de C.________ SA. La recourante ne prétend pas, par ailleurs, que le prénommé aurait fait des choses mobilières et des valeurs patrimoniales litigieuses un usage différent de celui qui avait été convenu. On ignore enfin à quel terme ou sous quelles conditions la recourante pourrait obtenir le retour de ses biens. Il n'apparaît pas, comme le soutient celle-ci, que la séparation du couple lui aurait en soi permis d'exiger la restitution des choses prêtées, respectivement des apports dans C.________ SA. Aucun indice ne permet donc, en l'occurrence, de penser que les éléments constitutifs d'une infraction à l' art. 138 CP seraient réunis. La cour cantonale n'a pas violé le droit fédéral en confirmant l'ordonnance de non-entrée en matière du 6 décembre 2016 sur ce point. Mal fondé, le grief doit être rejeté.</w:t>
      </w:r>
    </w:p>
    <w:p>
      <w:r>
        <w:rPr>
          <w:b/>
        </w:rPr>
        <w:t>E. 3</w:t>
      </w:r>
    </w:p>
    <w:p>
      <w:r>
        <w:t>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