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426/2010 vom 22. Juli 2010</w:t>
      </w:r>
    </w:p>
    <w:p>
      <w:r>
        <w:t>Bundesgericht, 2010-07-22, DE</w:t>
      </w:r>
    </w:p>
    <w:p>
      <w:r>
        <w:rPr>
          <w:b/>
        </w:rPr>
        <w:t xml:space="preserve">Quelle: </w:t>
      </w:r>
      <w:r>
        <w:t>https://mcp.opencaselaw.ch/entscheid/bger_6B_426_2010</w:t>
      </w:r>
    </w:p>
    <w:p>
      <w:r>
        <w:t>FR: TF 6B 426/2010 du 22 juillet 2010</w:t>
      </w:r>
    </w:p>
    <w:p>
      <w:r>
        <w:t>IT: TF 6B 426/2010 del 22 luglio 2010</w:t>
      </w:r>
    </w:p>
    <w:p>
      <w:pPr>
        <w:pStyle w:val="Heading2"/>
      </w:pPr>
      <w:r>
        <w:t>Regeste</w:t>
      </w:r>
    </w:p>
    <w:p>
      <w:r>
        <w:t>Strafzumessung (mehrfache BetmG-Widerhandlung) | Strafrecht (allgemein)</w:t>
      </w:r>
    </w:p>
    <w:p>
      <w:pPr>
        <w:pStyle w:val="Heading2"/>
      </w:pPr>
      <w:r>
        <w:t>Erwägungen</w:t>
      </w:r>
    </w:p>
    <w:p>
      <w:r>
        <w:rPr>
          <w:b/>
        </w:rPr>
        <w:t>E. 1.1</w:t>
      </w:r>
    </w:p>
    <w:p>
      <w:r>
        <w:t>Die Beschwerde richtet sich alleine gegen die Strafzumessung. Es wird geltend gemacht, die Vorinstanz habe das abgelegte Geständnis des Beschwerdegegners in Verletzung von Art. 47 StGB zu Unrecht strafmindernd berücksichtigt.</w:t>
      </w:r>
    </w:p>
    <w:p>
      <w:r>
        <w:rPr>
          <w:b/>
        </w:rPr>
        <w:t>E. 1.2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1.3</w:t>
      </w:r>
    </w:p>
    <w:p>
      <w:r>
        <w:t>Nach dem im angefochtenen Entscheid festgestellten Sachverhalt betätigte sich der vorsätzlich handelnde Beschwerdegegner zwischen dem 5. Juli 2007 und dem 8. Mai 2008 (Tag der Verhaftung) im internationalen und nationalen Drogenhandel auf mittlerer Hierarchiestufe. Er handelte mit mehr als 5,7 Kilogramm Kokaingemisch, was bei einem Reinheitsgrad von 33 % einer Menge von insgesamt rund 1,9 Kilogramm reinem Kokain entspricht. Der selber nicht drogenabhängige, einschlägig vorbestrafte Beschwerdegegner handelte aus finanziellen Motiven. Seine Aktivitäten wurden erst durch polizeiliche Intervention gestoppt.</w:t>
      </w:r>
    </w:p>
    <w:p>
      <w:r>
        <w:rPr>
          <w:b/>
        </w:rPr>
        <w:t>E. 1.4</w:t>
      </w:r>
    </w:p>
    <w:p>
      <w:r>
        <w:t>Die Vorinstanz stuft das als erheblich qualifizierte Verschulden des Beschwerdegegners einzig aufgrund seines im Verfahren vor ihr abgelegten Geständnisses etwas leichter ein als vom Bezirksgericht angenommen und reduziert die Strafe deshalb um ein halbes Jahr. Sie führt aus, der Beschwerdegegner habe die Anklagevorhalte bis zum Berufungsverfahren hartnäckig abgestritten und alle Register gezogen, um einer Verurteilung zu entgehen. Das sei zwar sein Recht. Von einem Geständnis, das die Untersuchung oder zumindest das erstinstanzliche Gerichtsverfahren erleichtert hätte, könne aber nicht die Rede sein. Ebenso wenig sei in der Zugabe des Beschwerdegegners wirkliche Einsicht und Reue zu erkennen, zumal er mit der Behauptung, vor den heute zu beurteilenden Taten keine Kenntnis von der Gefährlichkeit des Kokains gehabt zu haben, die geltend gemachten Gefühlsregungen gleichsam wieder relativiert habe. Angesichts der zwei einschlägigen Vorstrafen aus den Jahren 2003 und 2007 wegen (qualifizierten) Drogenhandels könne ein solcher Einwand nur noch als trölerisch bezeichnet werden. Das Geständnis des Beschwerdegegners habe sich dennoch in einer merklichen Strafreduktion niederzuschlagen.</w:t>
      </w:r>
    </w:p>
    <w:p>
      <w:r>
        <w:rPr>
          <w:b/>
        </w:rPr>
        <w:t>E. 1.5</w:t>
      </w:r>
    </w:p>
    <w:p>
      <w:r>
        <w:t>Gemäss der bundesgerichtlichen Rechtsprechung kann ein Geständnis bei der Analyse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206). Diese Praxis fusst auf der Überlegung, dass Geständnisse zur Vereinfachung und Verkürzung des Verfahrens und zur Wahrheitsfindung beitragen können. Ein Verzicht auf Strafminderung kann sich demgegenüber deshalb aufdrängen, wenn das Geständnis die Strafverfolgung nicht erleichtert hat, namentlich weil der Täter nur aufgrund einer erdrückenden Beweislage oder gar erst nach Ausfällung des erstinstanzlichen Urteils geständig geworden ist (Urteile 6B_974/2009 vom 18. Februar 2010 E. 5.4, 6B_737/2007 vom 14. April 2008 E. 1.2 sowie 6S.531/2006 vom 24. Januar 2007 E. 3.6.3 mit Hinweisen).</w:t>
      </w:r>
    </w:p>
    <w:p>
      <w:r>
        <w:rPr>
          <w:b/>
        </w:rPr>
        <w:t>E. 1.6</w:t>
      </w:r>
    </w:p>
    <w:p>
      <w:r>
        <w:t>Der Beschwerdegegner bestritt seine Taten bis zum Abschluss des erstinstanzlichen Verfahrens vollumfänglich und trug mithin nach den Ausführungen im angefochtenen Entscheid mit seinem Geständnis im Berufungsverfahren weder zur Vereinfachung und Verkürzung des Verfahrens noch zur Sachverhaltsabklärung und Wahrheitsfindung bei. Wie sich aus den Ausführungen im angefochtenen Entscheid weiter klar ergibt, lässt das erst im vorinstanzlichen Verfahren abgelegte Geständnis des Beschwerdegegners auch keine (echte) Reue und Einsicht erkennen. Damit verneint die Vorinstanz in aller Deutlichkeit die Grundlage für eine Strafminderung aufgrund des Geständnisses, mindert die Strafe in der Folge aber dennoch gerade deshalb, also wegen des Geständnisses, um ein halbes Jahr. Die Strafreduktion, welche mithin grundlos erfolgt, ist nicht statthaft und beruht - wie die Beschwerdeführerin zu Recht festhält - auf einem technischen Strafzumessungsfehler. Der angefochtene Entscheid verletzt damit Bundesrecht.</w:t>
      </w:r>
    </w:p>
    <w:p>
      <w:r>
        <w:rPr>
          <w:b/>
        </w:rPr>
        <w:t>E. 1.7</w:t>
      </w:r>
    </w:p>
    <w:p>
      <w:r>
        <w:t>Im Übrigen bleibt klarzustellen, dass das Wohlverhalten des Täters im Strafvollzug für die Strafzumessung unerheblich ist. Zwar ist dessen Verhalten nach der Tat bei der Zumessung der Strafe grundsätzlich insofern von Bedeutung, als dieses Rückschlüsse auf den Täter und seine Einstellung zur Tat zulässt (Urteil 6S.348/2004 vom 20. Januar 2005 E. 4.1). Strafmindernd im Sinne eines entlastenden Nachtatverhaltens wirken vor allem das Bekunden von Einsicht und Reue ( BGE 101 IV 202 E. 2d/cc). Ein korrektes Verhalten im Strafvollzug kann demgegenüber vorausgesetzt werden. Das dem Beschwerdegegner von der Vorinstanz attestierte Wohlverhalten im Strafvollzug wird ihm damit in erster Linie bei der Frage nach der bedingten Entlassung zugutezuhalten sein (vgl. Art. 86 StGB ). Im Rahmen der Strafzumessung kann es hingegen nicht als besondere Reue und Einsicht interpretiert und berücksichtigt werden (Urteil 6B_974/2009 vom 18. Februar 2010 E. 5.5). Soweit die Vorinstanz das Wohlverhalten im Strafvollzug bei der Strafzumessung deshalb zu Gunsten des Beschwerdeführers berücksichtigt - was sich aus ihren Feststellungen indessen nicht mit letzter Klarheit ergibt - verletzt der angefochtene Entscheid ebenfalls Bundesrecht.</w:t>
      </w:r>
    </w:p>
    <w:p>
      <w:r>
        <w:rPr>
          <w:b/>
        </w:rPr>
        <w:t>E. 2</w:t>
      </w:r>
    </w:p>
    <w:p>
      <w:r>
        <w:t>Zusammenfassend ist die Beschwerde gutzuheissen. Der obsiegen-den Beschwerdeführerin ist keine Entschädigung auszurichten ( Art. 68 Abs. 3 BGG ). Dem Beschwerdegegner wären die Gerichtskosten hingegen als unterliegende Partei grundsätzlich aufzuerlegen ( Art. 66 Abs. 1 Satz 1 StGB ). Er hat indessen um unentgeltliche Rechtspflege und Verbeiständung ersucht. Sein Gesuch ist gutzuheissen. Damit sind keine Kosten zu erheben und ist der Vertreter des Beschwerdegegners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