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6B_425/2024 vom 17. Januar 2025</w:t>
      </w:r>
    </w:p>
    <w:p>
      <w:r>
        <w:t>Bundesgericht, 2025-01-17, FR</w:t>
      </w:r>
    </w:p>
    <w:p>
      <w:r>
        <w:rPr>
          <w:b/>
        </w:rPr>
        <w:t xml:space="preserve">Quelle: </w:t>
      </w:r>
      <w:r>
        <w:t>https://mcp.opencaselaw.ch/entscheid/bger_6B_425_2024</w:t>
      </w:r>
    </w:p>
    <w:p>
      <w:r>
        <w:t>FR: TF 6B_425/2024 du 17 janvier 2025</w:t>
      </w:r>
    </w:p>
    <w:p>
      <w:r>
        <w:t>IT: TF 6B_425/2024 del 17 gennaio 2025</w:t>
      </w:r>
    </w:p>
    <w:p>
      <w:pPr>
        <w:pStyle w:val="Heading2"/>
      </w:pPr>
      <w:r>
        <w:t>Erwägungen</w:t>
      </w:r>
    </w:p>
    <w:p>
      <w:r>
        <w:rPr>
          <w:b/>
        </w:rPr>
        <w:t>E. 1</w:t>
      </w:r>
    </w:p>
    <w:p>
      <w:r>
        <w:t>Le recours contre une décision doit être déposé au Tribunal fédéral dans les trente jours qui suivent la notification de l'expédition complète ( art. 100 al. 1 LTF ). Les délais dont le début dépend d'une communication ou de la survenance d'un événement courent dès le lendemain de celles-ci ( art. 44 al. 1 LTF ).</w:t>
      </w:r>
    </w:p>
    <w:p>
      <w:r>
        <w:t>En l'espèce, il n'y a par conséquent pas lieu de tenir compte de l'écriture complémentaire du recourant adressée au Tribunal fédéral le 10 juin 2024, soit après l'échéance du délai de recours intervenue le 25 mai 2024.</w:t>
      </w:r>
    </w:p>
    <w:p>
      <w:r>
        <w:rPr>
          <w:b/>
        </w:rPr>
        <w:t>E. 2</w:t>
      </w:r>
    </w:p>
    <w:p>
      <w:r>
        <w:t>Le recourant invoque d'abord un déni de justice ainsi qu'une violation de son droit d'être entendu.</w:t>
      </w:r>
    </w:p>
    <w:p>
      <w:r>
        <w:rPr>
          <w:b/>
        </w:rPr>
        <w:t>E. 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7B_450/2024 du 1er juillet 2024 consid. 2.2.1 et l'arrêt cité). L'autorité qui ne traite pas un grief relevant de sa compétence, motivé de façon suffisante et pertinent pour l'issue du litige, commet un déni de justice formel proscrit par l' art. 29 al. 1 Cst. ( ATF 142 II 154 consid. 4.2; arrêt 7B_450/2024 du 1er juillet 2024 consid. 2.2.1 et l'arrêt cité).</w:t>
      </w:r>
    </w:p>
    <w:p>
      <w:r>
        <w:rPr>
          <w:b/>
        </w:rPr>
        <w:t>E. 2.2</w:t>
      </w:r>
    </w:p>
    <w:p>
      <w:r>
        <w:t>Dans la mesure où le recourant fait grief à la cour cantonale d'avoir omis de prendre en compte certains éléments, son grief se confond en réalité avec celui d'arbitraire (cf.</w:t>
      </w:r>
    </w:p>
    <w:p>
      <w:r>
        <w:t>infra consid. 3).</w:t>
      </w:r>
    </w:p>
    <w:p>
      <w:r>
        <w:rPr>
          <w:b/>
        </w:rPr>
        <w:t>E. 3</w:t>
      </w:r>
    </w:p>
    <w:p>
      <w:r>
        <w:t>Invoquant une constatation arbitraire des faits et une violation de l' art. 173 CP , le recourant conteste sa condamnation pour diffamation en lien avec chacun des trois états de fait décrits successivement sous les let. B.b à B.d ci-avant.</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 Lorsque l'appréciation des preuves et la constatation des faits sont critiquées en référence à la présomption d'innocence ( art. 6 par. 2 CEDH , art. 32 al. 1 Cst. et 10 CPP), le principe</w:t>
      </w:r>
    </w:p>
    <w:p>
      <w:r>
        <w:t>in dubio pro reo n'a pas de portée plus large que celui de l'interdiction de l'arbitraire ( ATF 143 IV 500 consid. 1.1).</w:t>
      </w:r>
    </w:p>
    <w:p>
      <w:r>
        <w:rPr>
          <w:b/>
        </w:rPr>
        <w:t>E. 3.2</w:t>
      </w:r>
    </w:p>
    <w:p>
      <w:r>
        <w:t>Aux termes de l' art. 173 CP ,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arrêts cités).</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148 IV 409 consid. 2.3.2; 145 IV 462 consid. 4.2.3; 137 IV 313 consid. 2.1.3). Aussi, il est constant qu'en matière d'infractions contre l'honneur, les mêmes termes n'ont pas nécessairement la même portée suivant le contexte dans lequel ils sont employés ( ATF 148 IV 409 consid. 2.3.2; 145 IV 462 consid. 4.2.3; 118 IV 248 consid. 2b).</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w:t>
      </w:r>
    </w:p>
    <w:p>
      <w:r>
        <w:t>La jurisprudence et la doctrine interprètent de manière restrictive les conditions énoncées à l' art. 173 ch. 3 CP . En principe, l'accusé doit être admis à faire les preuves libératoires et ce n'est qu'exceptionnellement que cette possibilité doit lui être refusée ( ATF 132 IV 112 consid. 3.1 et les références citées; arrêt 6B_450/2024 du 8 août 2024 consid. 1.1.3; RIEBEN/MAZOU, in Commentaire romand, Code pénal II, n° 47</w:t>
      </w:r>
    </w:p>
    <w:p>
      <w:r>
        <w:t>ad</w:t>
      </w:r>
    </w:p>
    <w:p>
      <w:r>
        <w:t>art. 173 CP ).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137 IV 313 consid. 2.4.4; 132 IV 112 consid. 3.1; arrêts 6B_450/2024 précité consid. 1.1.3; 7B_2/2022 du 24 octobre 2023 consid. 2.1.4; 6B_777/2022 du 16 mars 2023 consid. 3.2).</w:t>
      </w:r>
    </w:p>
    <w:p>
      <w:r>
        <w:rPr>
          <w:b/>
        </w:rPr>
        <w:t>E. 3.3</w:t>
      </w:r>
    </w:p>
    <w:p>
      <w:r>
        <w:t>S'agissant de chacun des états de fait, la cour cantonale a estimé que les propos tenus par le recourant étaient incontestablement attentatoires à l'honneur, puisque, d'une part, ils dépeignaient l'ex-compagne du recourant comme une mère manipulatrice, maltraitante et vile, et d'autre part, ils revenaient à accuser une avocate d'avoir commis une infraction pénale, ce qui portait indubitablement atteinte à sa probité professionnelle.</w:t>
      </w:r>
    </w:p>
    <w:p>
      <w:r>
        <w:t>La cour cantonale a ensuite jugé que le recourant ne pouvait se prévaloir des preuves libératoires prévues par l' art. 173 ch. 2 CP , les éléments qu'il avait invoqués n'étant pas propres à démontrer la véracité des accusations qu'il avait portées à l'encontre des intimées ni sa bonne foi. Au demeurant, sous l'angle de l' art. 173 ch. 3 CP , la cour cantonale a conclu que ces accusations avaient été articulées sans motif suffisant, le but poursuivi par le recourant étant principalement de dire du mal des intimées et de les discréditer. Elle a rappelé que le défenseur du recourant avait indiqué que celui-ci était animé d'une haine contre les personnes qui avaient, selon lui, contribué au retrait de son droit de garde sur ses enfants. Il était ainsi incapable de se contenir et mesurer ses propos, si bien que ce n'était pas dans le but de "rétablir une vérité" qu'il avait agi, mais dans l'intention évidente de dire du mal des intimées, tant les propos qu'il avait tenus apparaissaient exagérés. Il s'ensuivait qu'il ne pouvait être admis à faire la preuve de la vérité ni la preuve de la bonne foi.</w:t>
      </w:r>
    </w:p>
    <w:p>
      <w:r>
        <w:rPr>
          <w:b/>
        </w:rPr>
        <w:t>E. 3.4</w:t>
      </w:r>
    </w:p>
    <w:p>
      <w:r>
        <w:t>En premier lieu, le recourant critique la manière dont la cour cantonale a apprécié les preuves et établi les faits et invoque la violation du principe</w:t>
      </w:r>
    </w:p>
    <w:p>
      <w:r>
        <w:t>in dubio pro reo .</w:t>
      </w:r>
    </w:p>
    <w:p>
      <w:r>
        <w:rPr>
          <w:b/>
        </w:rPr>
        <w:t>E. 3.4.1</w:t>
      </w:r>
    </w:p>
    <w:p>
      <w:r>
        <w:t>Le recourant soutient que la cour cantonale a passé sous silence le fait qu'il a déposé différentes plaintes à l'encontre des intimées, façon d'agir qui démontrerait qu'il était de bonne foi. Ce raisonnement ne saurait être suivi, le simple fait d'avoir déposé plainte pénale n'étant pas propre à prouver la bonne foi du recourant. Partant, le grief est rejeté.</w:t>
      </w:r>
    </w:p>
    <w:p>
      <w:r>
        <w:rPr>
          <w:b/>
        </w:rPr>
        <w:t>E. 3.4.2</w:t>
      </w:r>
    </w:p>
    <w:p>
      <w:r>
        <w:t>Le recourant se plaint que la cour cantonale a ignoré l'audition du représentant du Service de protection de la jeunesse du 15 avril 2020 tenue dans le cadre de la procédure de mesures provisionnelles qui l'oppose à son ex-compagne, le témoignage du 17 juin 2020 de la nurse qui s'occupait de leurs enfants et le rapport de police du 22 décembre 2020, autant d'éléments qui permettraient de conclure que l'intimée 2 avait menti en affirmant dans sa requête de mesures superprovisionnelles du 3 avril 2020 que leur fils était notamment victime de mauvais traitements et de négligence de la part de son père. Celui-ci ne démontre toutefois pas suffisamment en quoi ces pièces prouveraient que son ex-compagne aurait inventé de tels faits, de sorte que son grief est irrecevable. En tout état, à supposer même qu'elle ait affabulé, les allégations tenues à son encontre par le recourant resteraient diffamatoires (cf.</w:t>
      </w:r>
    </w:p>
    <w:p>
      <w:r>
        <w:t>infra consid. 3.5 et 3.6).</w:t>
      </w:r>
    </w:p>
    <w:p>
      <w:r>
        <w:rPr>
          <w:b/>
        </w:rPr>
        <w:t>E. 3.4.3</w:t>
      </w:r>
    </w:p>
    <w:p>
      <w:r>
        <w:t>Le recourant reproche également à la cour cantonale d'avoir ignoré que le juge civil avait ordonné à son ex-compagne de reprendre un suivi thérapeutique, cette injonction devant être mise en relation avec les propos qui lui ont été reprochés, en l'occurrence d'avoir affirmé que l'intimée 2 souffrait de problèmes psychologiques. Il ne ressort cependant pas expressément du jugement attaqué que ces allégations aient été qualifiées de diffamatoires. Dans ces conditions, le fait qu'un juge civil ait ou non ordonné un suivi thérapeutique à l'intimée 2 n'apparaît pas décisif. Il s'ensuit que le grief doit être rejeté dans la mesure où il est recevable.</w:t>
      </w:r>
    </w:p>
    <w:p>
      <w:r>
        <w:rPr>
          <w:b/>
        </w:rPr>
        <w:t>E. 3.4.4</w:t>
      </w:r>
    </w:p>
    <w:p>
      <w:r>
        <w:t>En se référant à l'expertise pédopsychiatrique du 13 octobre 2021 ordonnée dans le cadre de la procédure civile qui opposait l'intimée 2 au recourant, celui-ci soutient qu'il avait de bonnes raisons de penser que son ex-compagne manipulait leurs enfants. En réalité, par son argumentation, il propose sa propre interprétation de ladite expertise sans démontrer en quoi l'appréciation de la cour cantonale serait arbitraire. En effet, le recourant se contente de ne citer qu'un extrait de l'expertise dans lequel son fils, lors de l'entretien avec l'expert, avait dépeint une image très négative de sa mère. Une fois remis dans son contexte, cet extrait ne permet cependant pas d'établir que l'intimée 2 aurait manipulé et déstabilisé "de manière grave et irréversible" leur fils et aurait entre autres instauré la "terreur" auprès de leurs enfants. En outre, le recourant omet les passages dans lesquels ledit extrait est apprécié par l'expert. Or, l'expertise établit en réalité que l'enfant est engagé dans un sévère conflit de loyauté (cf. rapport d'expertise du 13 octobre 2021, p. 23; pièce 32 du dossier cantonal, art. 105 al. 2 LTF ); après avoir initialement tenu des propos qui mettaient son père en cause, il multipliait désormais les griefs envers sa mère, si bien que l'expert a estimé que son discours semblait dorénavant être le résultat de l'influence de son père (cf. rapport d'expertise précité, p. 42-44, pièce 32 du dossier cantonal, art. 105 al. 2 LTF ). Ainsi, contrairement à ce que prétend le recourant, la cour cantonale n'a pas fait preuve d'arbitraire en ne retenant pas que l'expertise apportait la preuve que l'intimée 2 avait manipulé et déstabilisé de manière grave et irréversible leur fils. Il s'ensuit que le grief est rejeté dans la mesure où il est recevable.</w:t>
      </w:r>
    </w:p>
    <w:p>
      <w:r>
        <w:rPr>
          <w:b/>
        </w:rPr>
        <w:t>E. 3.5</w:t>
      </w:r>
    </w:p>
    <w:p>
      <w:r>
        <w:t>Le recourant soutient ensuite que la cour cantonale a fait abstraction du contexte très particulier dans lequel il a tenu les allégations mises en cause et qu'une atteinte à l'honneur ne doit être admise que restrictivement, si bien que ses allégations ne seraient pas attentatoires à l'honneur.</w:t>
      </w:r>
    </w:p>
    <w:p>
      <w:r>
        <w:t>S'agissant du premier état de fait (B.b), accuser une personne d'avoir commis une infraction porte atteinte à son honneur (cf.</w:t>
      </w:r>
    </w:p>
    <w:p>
      <w:r>
        <w:t>supra consid. 3.2). En l'occurrence, cela est d'autant plus évident que, l'intimée 3 étant avocate, des propos l'accusant de commettre une infraction dans l'exercice de son activité professionnelle la font apparaître comme étant méprisable, cela quel que soit le contexte dans lequel ils ont été proférés. En ce qui concerne les autres états de faits (B.c et B.d), les propos tenus par le recourant à l'égard de l'intimée 2 la décrivent comme une mère qui infligerait des souffrances tant psychologiques que physiques à ses enfants; de tels comportements sont clairement réprouvés par les conceptions morales généralement admises et sont, de surcroît, pour certains, pénalement répréhensibles. En outre, le contexte d'une procédure houleuse ayant trait à la garde des enfants ne change rien au caractère attentatoire à l'honneur des propos exagérés du recourant.</w:t>
      </w:r>
    </w:p>
    <w:p>
      <w:r>
        <w:t>Partant, c'est à raison que la cour cantonale a retenu que les propos du recourant à l'égard des intimées constituaient une atteinte à l'honneur.</w:t>
      </w:r>
    </w:p>
    <w:p>
      <w:r>
        <w:rPr>
          <w:b/>
        </w:rPr>
        <w:t>E. 3.6</w:t>
      </w:r>
    </w:p>
    <w:p>
      <w:r>
        <w:t>Le recourant se prévaut également des preuves libératoires de l' art. 173 ch. 2 CP en soutenant qu'il avait des raisons sérieuses de tenir pour vraies les allégations qu'il avait propagées de bonne foi.</w:t>
      </w:r>
    </w:p>
    <w:p>
      <w:r>
        <w:t>Le recourant rappelle qu'il a toujours affirmé qu'il était convaincu que les intimées avaient sollicité des mesures superprovisionnelles au moyen d'informations erronées afin que ses "droits de père" sur ses enfants lui soient retirés, raison pour laquelle il a déposé différentes plaintes pénales à l'égard des intimées, ce qui démontrerait sa bonne foi. Au sujet des "raisons sérieuses" dont il disposait, il se réfère au rapport de police du 22 décembre 2020 ainsi qu'au témoignage de la nurse du 17 juin 2020, qui établiraient que les intimées avaient effectivement induit la justice en erreur. Le recourant avance également qu'à la lumière de l'expertise pédopsychiatrique du 13 octobre 2021, il ne pouvait qu'être de bonne foi lorsqu'il a indiqué que son ex-compagne déstabilisait gravement leur enfant et le manipulait.</w:t>
      </w:r>
    </w:p>
    <w:p>
      <w:r>
        <w:t>On relèvera tout d'abord que, dans la mesure où tant le rapport de police que le rapport d'expertise sont postérieurs aux propos diffamatoires du recourant, celui-ci n'en avait pas connaissance au moment des faits, de sorte qu'il ne peut s'en prévaloir pour établir sa bonne foi.</w:t>
      </w:r>
    </w:p>
    <w:p>
      <w:r>
        <w:t>Pour le surplus, comme susmentionné, les éléments invoqués par le recourant n'ont pas le contenu qu'il leur prête (cf.</w:t>
      </w:r>
    </w:p>
    <w:p>
      <w:r>
        <w:t>supra consid. 3.4.2 et 3.4.4) et ne sont dès lors pas propres à démontrer la véracité de ses allégations ni sa bonne foi. À l'égard du premier état de fait (B.b), dire d'une avocate qu'elle pratique "l'escroquerie de la procédure et l'induction de la justice en erreur de manière systématique" consiste à l'accuser d'adopter intentionnellement un tel comportement de façon répétée. Or, même à supposer que l'intimée 3 se soit effectivement servie d'informations erronées dans le cadre de la procédure qui opposait sa cliente au recourant - ce qu'il ne démontre nullement -, celui-ci ne disposait pas de raisons sérieuses de croire que l'intimée se serait livrée à plusieurs reprises à de tels agissements, de sorte qu'il ne peut être admis à faire valoir de preuve libératoire. Il en va de même concernant le dernier état de fait (B.d); même à supposer que, comme l'avance le recourant, il soit établi que l'intimée 2 a menti dans le cadre de la procédure civile qui les opposait, l'essentiel des allégations proférées par le recourant ne reposerait toujours pas sur des raisons sérieuses, puisqu'il a notamment accusé son ex-compagne d'avoir frappé leur fils (B.d), ce qui n'est nullement établi par la cour cantonale. Enfin, il a déjà été établi qu'il ne ressort pas de l'expertise pédopsychiatrique que l'intimée 2 a manipulé et déstabilisé de manière grave et irréversible leur fils (B.c) (cf.</w:t>
      </w:r>
    </w:p>
    <w:p>
      <w:r>
        <w:t>supra consid. 3.4.4).</w:t>
      </w:r>
    </w:p>
    <w:p>
      <w:r>
        <w:rPr>
          <w:b/>
        </w:rPr>
        <w:t>E. 3.7</w:t>
      </w:r>
    </w:p>
    <w:p>
      <w:r>
        <w:t>Certes, la cour cantonale a conclu "au demeurant" que le recourant ne pouvait en tout état pas être admis à faire les preuves libératoires au sens de l' art. 173 ch. 3 CP . Cela étant, comme le recourant n'a pas apporté la preuve de sa bonne foi ni celle de la vérité (cf.</w:t>
      </w:r>
    </w:p>
    <w:p>
      <w:r>
        <w:t>supra consid. 3.6), il n'y a pas lieu de revenir sur ce point.</w:t>
      </w:r>
    </w:p>
    <w:p>
      <w:r>
        <w:rPr>
          <w:b/>
        </w:rPr>
        <w:t>E. 3.8</w:t>
      </w:r>
    </w:p>
    <w:p>
      <w:r>
        <w:t>Au vu de ce qui précède, la condamnation du recourant pour diffamation doit être confirmée.</w:t>
      </w:r>
    </w:p>
    <w:p>
      <w:r>
        <w:rPr>
          <w:b/>
        </w:rPr>
        <w:t>E. 4</w:t>
      </w:r>
    </w:p>
    <w:p>
      <w:r>
        <w:t>Le recourant reproche à la cour cantonale de ne pas l'avoir mis au bénéfice de certaines circonstances atténuantes figurant à l' art. 48 CP , à savoir le profond désarroi (let. c), la détresse profonde (let. a ch. 2) et le mobile honorable (let. a ch. 1).</w:t>
      </w:r>
    </w:p>
    <w:p>
      <w:r>
        <w:rPr>
          <w:b/>
        </w:rPr>
        <w:t>E. 4.1</w:t>
      </w:r>
    </w:p>
    <w:p>
      <w:r>
        <w:t>Le profond désarroi vise un état d'émotion qui mûrit progressivement pendant une longue période, qui couve pendant longtemps jusqu'à ce que l'auteur soit complètement désespéré et ne voie d'autre issue que d'agir ainsi qu'il le fait ( ATF 119 IV 202 consid. 2a; 118 IV 233 consid. 2a). Il doit être rendu excusable par les circonstances ( ATF 119 IV 203 consid. 2a; 118 IV 233 consid. 2a). Le plus souvent, il est rendu excusable par le comportement blâmable de la victime à l'égard de l'auteur, mais il peut aussi l'être par le comportement d'un tiers ou par des circonstances objectives ( ATF 119 V 202 consid. 2a; arrêts 6B_1317/2022 du 27 avril 2023 consid. 5.2; 6B_1431/2020 du 8 juillet 2021 consid. 4.3). Il faut procéder à une appréciation objective de la cause de cet état et se demander si un tiers raisonnable, placé dans la même situation que l'auteur, se serait trouvé dans le même état ( ATF 108 IV 99 consid. 3b; 107 IV 103 consid. 2b/bb; arrêts 6B_1317/2022 précité consid. 5.2; 6B_1431/2020 précité consid. 4.3).</w:t>
      </w:r>
    </w:p>
    <w:p>
      <w:r>
        <w:t>Selon la jurisprudence, il y a détresse profonde au sens de l' art. 48 let. a ch. 2 CP lorsque l'auteur est poussé à transgresser la loi pénale par une situation proche de l'état de nécessité (art. 17 s. CP),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 ATF 149 IV 217 consid. 1.4.1; 147 IV 249 consid. 2.1; 110 IV 9 consid. 2; 107 IV 94 consid. 4c; arrêt 6B_1501/2022 du 14 juin 2023 consid. 2.3.1).</w:t>
      </w:r>
    </w:p>
    <w:p>
      <w:r>
        <w:t>D'une manière générale, le caractère honorable des mobiles s'apprécie d'après l'échelle des valeurs éthiques reconnues par la collectivité dans son ensemble ( ATF 128 IV 53 consid. 3 et la référence citée). Pour être qualifié d'honorable, il ne suffit pas que le mobile ne soit pas critiquable sur le plan moral, il faut encore qu'il se situe dans la partie supérieure des valeurs éthiques, reposant sur des convictions dignes d'estime ( ATF 149 IV 217 et les références citées; 128 IV 53 consid. 3a).</w:t>
      </w:r>
    </w:p>
    <w:p>
      <w:r>
        <w:t>Déterminer les mobiles de l'auteur, comme tout ce qui a trait au contenu de la pensée, est une question de fait ( ATF 149 IV 217 consid. 1.3.1; 128 IV 53 consid. 3 et la référence citée). Savoir si les mobiles retenus sont honorables est une question de droit fédéral ( ATF 149 IV 217 consid. 1.3.1; 128 IV 53 consid. 3).</w:t>
      </w:r>
    </w:p>
    <w:p>
      <w:r>
        <w:rPr>
          <w:b/>
        </w:rPr>
        <w:t>E. 4.2</w:t>
      </w:r>
    </w:p>
    <w:p>
      <w:r>
        <w:t>Le recourant soutient qu'il a profondément souffert de ne pas avoir pu voir ses enfants pendant plusieurs mois et du climat familial délétère résultant des fausses accusations qui auraient été portées à son encontre par les intimées. La manière dont ses enfants lui ont été "enlevés" ainsi que le sentiment d'impuissance qui l'habitait l'auraient plongé dans un profond désarroi; il dit s'être senti très angoissé face à la menace de la suppression totale de la possibilité de voir ses enfants.</w:t>
      </w:r>
    </w:p>
    <w:p>
      <w:r>
        <w:t>De telles circonstances ne suffisent pas à admettre que le recourant a agi dans un état de profond désarroi. Même s'il a effectivement pu souffrir de ne plus avoir de contact avec ses enfants pendant un certain temps, son état d'émotion n'était pas excusable pour autant. Il ressort en effet des faits retenus par l'autorité cantonale - qui lient le Tribunal fédéral ( art. 105 al. 1 LTF ) - que la réaction du recourant étant plutôt animée par la haine que par le désarroi (cf.</w:t>
      </w:r>
    </w:p>
    <w:p>
      <w:r>
        <w:t>supra consid. 3.3). Par ailleurs, la cour cantonale ayant retenu que le recourant avait agi par dessein de nuire à autrui, le mobile honorable ne peut être retenu. Enfin, en ce qui concerne la détresse profonde, le recourant se contente de la mentionner sans expliquer en quoi il aurait été dans un tel état au moment des faits. Dans ces circonstances, les conditions de l'art. 48 let. a ch. 1 et 2 et let. c ne sont pas réalisées; le grief est rejeté.</w:t>
      </w:r>
    </w:p>
    <w:p>
      <w:r>
        <w:rPr>
          <w:b/>
        </w:rPr>
        <w:t>E. 5</w:t>
      </w:r>
    </w:p>
    <w:p>
      <w:r>
        <w:t>Au vu de ce qui précède, le recours est rejeté dans la mesure où il est recevable. Le recourant, qui succombe, doit supporter les frais judiciaires ( art. 66 al. 1 LTF ). Il n'y a pas lieu d'allouer des dépens aux intimées qui n'ont pas été invitées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