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6B_425/2021 vom 20. April 2022</w:t>
      </w:r>
    </w:p>
    <w:p>
      <w:r>
        <w:t>Bundesgericht, 2022-04-20, DE</w:t>
      </w:r>
    </w:p>
    <w:p>
      <w:r>
        <w:rPr>
          <w:b/>
        </w:rPr>
        <w:t xml:space="preserve">Quelle: </w:t>
      </w:r>
      <w:r>
        <w:t>https://mcp.opencaselaw.ch/entscheid/bger_6B_425_2021</w:t>
      </w:r>
    </w:p>
    <w:p>
      <w:r>
        <w:t>FR: TF 6B_425/2021 du 20 avril 2022</w:t>
      </w:r>
    </w:p>
    <w:p>
      <w:r>
        <w:t>IT: TF 6B_425/2021 del 20 aprile 2022</w:t>
      </w:r>
    </w:p>
    <w:p>
      <w:pPr>
        <w:pStyle w:val="Heading2"/>
      </w:pPr>
      <w:r>
        <w:t>Erwägungen</w:t>
      </w:r>
    </w:p>
    <w:p>
      <w:r>
        <w:rPr>
          <w:b/>
        </w:rPr>
        <w:t>E. 1.1</w:t>
      </w:r>
    </w:p>
    <w:p>
      <w:r>
        <w:t>Angefochten ist ein kantonal letztinstanzlicher Entscheid, mit dem die Gültigkeit der Einsprache gegen den Strafbefehl und die damit verbundene Rückweisung der Sache zur Weiterführung des Verfahrens bzw. zumindest zur korrekten Eröffnung des Strafbefehls vom 24. Mai 2018 an die Staatsanwaltschaft bestätigt wurde. Dagegen ist die Beschwerde in Strafsachen zulässig ( Art. 78 Abs. 1, Art. 80 BGG ). Er schliesst das Verfahren indes nicht ab; es handelt sich mithin um einen Zwischenentscheid, gegen den die Beschwerde zulässig ist, wenn er einen nicht wiedergutzumachenden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bildet aus prozessökonomischen Gründen eine Ausnahme vom Grundsatz, dass sich das Bundesgericht mit jeder Angelegenheit nur einmal befassen soll. Die Ausnahme ist restriktiv zu handhaben ( BGE 144 III 475 E. 1.2; 141 III 80 E. 1.2; je mit Hinweisen). Es obliegt dem Beschwerdeführer, detailliert darzutun, dass die Voraussetzungen von Art. 93 Abs. 1 BGG erfüllt sind, soweit deren Vorliegen nicht offensichtlich ist ( Art. 42 Abs. 2 BGG ; BGE 142 III 798 E. 2.2 mit Hinweisen; 141 III 80 E. 1.2 mit Hinweis). Vorliegend äussert er sich dazu nicht; ein nicht wieder gutzumachender Nachteil ist für den Beschwerdeführer auch nicht ersichtlich, zumal die Gültigkeit der von ihm erhobenen Einsprache festgestellt wurde.</w:t>
      </w:r>
    </w:p>
    <w:p>
      <w:r>
        <w:rPr>
          <w:b/>
        </w:rPr>
        <w:t>E. 1.2</w:t>
      </w:r>
    </w:p>
    <w:p>
      <w:r>
        <w:t>Der in einem Zwischenentscheid enthaltene Entschädigungspunkt, wie er hier angefochten ist, kann nur im Rahmen einer Beschwerde gegen einen Zwischenentscheid im Hauptpunkt Gegenstand einer unmittelbaren Beschwerde an das Bundesgericht sein, vorausgesetzt, ein solcher Rechtsweg steht gemäss Art. 93 Abs. 1 BGG offen. Der in einem Zwischenentscheid enthaltene Entscheid über die Kosten- und Entschädigungsfolgen kann nicht selber einen nicht wieder gutzumachenden Nachteil gemäss Art. 93 Abs. 1 lit. a BGG bewirken, sodass dagegen eine selbständige Beschwerde im Anschluss an den Zwischenentscheid nicht zulässig ist ( BGE 143 III 416 E. 1.3; 142 II 363 E. 1.1; 142 V 551 E. 3.2; Urteile 6B_807/2020 vom 7. März 2022 E. 2.1; 6B_161/2019 vom 6. März 2019 E. 1.3; je mit Hinweisen). Somit kann vorliegend auf die Beschwerde gegen die Entschädigungsfolgen nicht eingetreten werden. Gegenteiliges legt der Beschwerdeführer nicht dar.</w:t>
      </w:r>
    </w:p>
    <w:p>
      <w:r>
        <w:rPr>
          <w:b/>
        </w:rPr>
        <w:t>E. 2</w:t>
      </w:r>
    </w:p>
    <w:p>
      <w:r>
        <w:t>Auf die Beschwerde ist nicht einzutreten. Ausgangsgemäss trägt der Beschwerdeführer die Gerichtskosten, zumal sein Gesuch um unentgeltliche Rechtspflege infolge Aussichtslosigkeit abzuweisen ist. Seinen finanziellen Verhältnissen ist bei der Kostenbemessung Rechnung zu tragen ( Art. 64 Abs. 1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