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425/2020 vom 10. März 2021</w:t>
      </w:r>
    </w:p>
    <w:p>
      <w:r>
        <w:t>Bundesgericht, 2021-03-10, DE</w:t>
      </w:r>
    </w:p>
    <w:p>
      <w:r>
        <w:rPr>
          <w:b/>
        </w:rPr>
        <w:t xml:space="preserve">Quelle: </w:t>
      </w:r>
      <w:r>
        <w:t>https://mcp.opencaselaw.ch/entscheid/bger_6B_425_2020</w:t>
      </w:r>
    </w:p>
    <w:p>
      <w:r>
        <w:t>FR: TF 6B 425/2020 du 10 mars 2021</w:t>
      </w:r>
    </w:p>
    <w:p>
      <w:r>
        <w:t>IT: TF 6B 425/2020 del 10 marzo 2021</w:t>
      </w:r>
    </w:p>
    <w:p>
      <w:pPr>
        <w:pStyle w:val="Heading2"/>
      </w:pPr>
      <w:r>
        <w:t>Regeste</w:t>
      </w:r>
    </w:p>
    <w:p>
      <w:r>
        <w:t>Verspätete Berufungsanmeldung; Grundsatz von Treu und Glauben, Verbot des Rechtsmissbrauchs etc. | Strafprozess</w:t>
      </w:r>
    </w:p>
    <w:p>
      <w:pPr>
        <w:pStyle w:val="Heading2"/>
      </w:pPr>
      <w:r>
        <w:t>Erwägungen</w:t>
      </w:r>
    </w:p>
    <w:p>
      <w:r>
        <w:rPr>
          <w:b/>
        </w:rPr>
        <w:t>E. 1.1</w:t>
      </w:r>
    </w:p>
    <w:p>
      <w:r>
        <w:t>Der Beschwerdeführer rügt, die Vorinstanz habe gegen den Grundsatz von Treu und Glauben im Sinne von Art. 3 Abs. 2 lit. a StPO sowie das Verbot des Rechtsmissbrauchs nach Art. 3 Abs. 2 lit. b StPO verstossen und Art. 399 Abs. 3 StPO verletzt, indem sie nicht auf seine Berufung eingetreten ist. Er sei in guten Treuen davon ausgegangen, dass es sich bei dem ihm am 5. Juni 2019 zugestellten Urteil und der "Kurzbegründung" um das begründete Urteil gehandelt habe, weshalb er konsequenterweise innert Frist von 20 Tagen gemäss Art. 399 Abs. 3 StPO seine Berufung eingereicht habe.</w:t>
      </w:r>
    </w:p>
    <w:p>
      <w:r>
        <w:rPr>
          <w:b/>
        </w:rPr>
        <w:t>E. 1.2</w:t>
      </w:r>
    </w:p>
    <w:p>
      <w:r>
        <w:t>Die StPO sieht für die Einlegung der Berufung ein zweistufiges Verfahren vor.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der Zustellung des begründeten Urteils eine schriftliche Berufungserklärung ein. Die am Prozess beteiligten Parteien, welche mit dem erstinstanzlichen Urteil nicht einverstanden sind, müssen mithin in der Regel zweimal ihren Willen kundtun, das Urteil nicht zu akzeptieren, nämlich einmal im Rahmen der Anmeldung der Berufung bei der ersten Instanz nach Eröffnung des Dispositivs (siehe Art. 84 StPO zur Eröffnung sowie Art. 81 Abs. 4 StPO zum Inhalt des Dispositivs) und ein zweites Mal nach Eingang des begründeten Urteils durch eine Berufungserklärung beim Berufungsgericht ( BGE 143 IV 40 E. 3.4.1 S. 44; 138 IV 157 E. 2.1 S. 158; Urteile 6B_429/2020 vom 1. Oktober 2020 E. 1.1; 6B_684/2017 vom 13. März 2018 E. 1.4.2). Wird das Urteil weder mündlich noch schriftlich im Dispositiv eröffnet, sondern direkt in begründeter Form zugestellt, ist eine Anmeldung der Berufung nicht nötig. Es genügt, innert 20 Tagen eine Berufungserklärung einzureichen ( BGE 138 IV 157 E. 2.2 S. 159 mit Hinweisen; Urteil 6B_429/2020 vom 1. Oktober 2020 E. 1.1).</w:t>
      </w:r>
    </w:p>
    <w:p>
      <w:r>
        <w:rPr>
          <w:b/>
        </w:rPr>
        <w:t>E. 1.3</w:t>
      </w:r>
    </w:p>
    <w:p>
      <w:r>
        <w:t>Die Vorinstanz erwägt, es habe sich bei dem am 5. Juni 2019 im Dispositiv zusammen mit der "Kurzbegründung" zugestellten Urteil um ein blosses Urteilsdispositiv gehandelt, gegen welches der Beschwerdeführer innert zehn Tagen bei der Erstinstanz hätte Berufung anmelden müssen. Die dem Urteil beigelegte Urteilsbegründung habe knapp sieben Seiten umfasst und sei damit relativ umfangreich ausgefallen. Sie sei jedoch explizit als "Kurzbegründung" bezeichnet, vom Dispositiv getrennt und separat geheftet sowie weder von der Gerichtspräsidentin noch der Gerichtsschreiberin unterzeichnet gewesen. Damit sei die "Kurzbegründung" nicht Teil des Urteils im Sinne von Art. 81 Abs. 3 StPO , sondern lediglich dessen Beilage gewesen, was auch für einen juristischen Laien erkennbar gewesen sei. Die Rechtsmittelbelehrung habe über das zweistufige Vorgehen der Berufungsanmeldung und anschliessender Berufungserklärung korrekt und auch für einen juristischen Laien unmissverständlich aufgeklärt. Die dem Urteil beigeheftete "Kurzbegründung" sei nicht geeignet gewesen, Zweifel an der Rechtsmittelbelehrung aufkommen zu lassen. Hätten aber Zweifel bestehen sollen, wäre es einer sorgfältig handelnden Partei nach Treu und Glauben zumutbar gewesen, Berufung anzumelden oder sich bei der Erstinstanz nach der Vorgehensweise zu erkundigen. Die zehntägige Frist ab Eröffnung des Urteilsdispositivs habe am 17. Juni 2019 geendet, womit die Berufungsanmeldung am 25. Juni 2019 verspätet eingereicht worden sei. Infolge Fristversäumnis sei auf die Berufung nicht einzutreten.</w:t>
      </w:r>
    </w:p>
    <w:p>
      <w:r>
        <w:rPr>
          <w:b/>
        </w:rPr>
        <w:t>E. 1.4</w:t>
      </w:r>
    </w:p>
    <w:p>
      <w:r>
        <w:t>Der Beschwerdeführer wendet gegen die vorinstanzlichen Erwägungen ein, dass die Rechtsmittelbelehrung auf die in der StPO vorgesehene Zustellung eines Urteilsdispositivs ohne "Kurzbegründung" zugeschnitten gewesen sei. Die "Kurzbegründung" habe sich über sieben und das Dispositiv über neun Seiten erstreckt. Die in der "Kurzbegründung" enthaltenen Verweise auf Gesetzesartikel, Präjudizien sowie Lehrbücher hätten einer Urteilsbegründung entsprochen. Dem Umfang und der Form der "Kurzbegründung" habe er als juristischer Laie ohne anwaltliche Vertretung entnehmen können, dass es sich um ein begründetes Urteil handle, gegen welches er gemäss der Rechtsmittelbelehrung innert 20 Tagen Berufung einlegen müsse.</w:t>
      </w:r>
    </w:p>
    <w:p>
      <w:r>
        <w:rPr>
          <w:b/>
        </w:rPr>
        <w:t>E. 1.5</w:t>
      </w:r>
    </w:p>
    <w:p>
      <w:r>
        <w:t>Die Vorinstanz hat zutreffend festgehalten, dass das Urteilsdispositiv eine korrekte Rechtsmittelbelehrung enthielt und diese die Zustellung eines begründeten Urteils nach der Berufungsanmeldung erwähnte. Massgebend ist jedoch, dass das Institut der "Kurzbegründung" in der StPO nicht vorgesehen ist. Wie der Beschwerdeführer zurecht vorbringt, ist die im Urteilsdispositiv enthaltene Rechtsmittelbelehrung nicht auf die Zustellung eines Dispositivs zusammen mit einer "Kurzbegründung" zugeschnitten. Das zugestellte Dispositiv sowie die "Kurzbegründung" machten zusammen 16 Seiten aus und die "Kurzbegründung" wich hinsichtlich Sprachgebrauch und Begründungsdichte kaum von einer Urteilsbegründung ab. Auch unter Berücksichtigung der fehlenden Unterschrift auf der Kurzbegründung ist nicht davon auszugehen, dass es für den Beschwerdeführer als juristischen Laien ohne anwaltliche Vertretung ersichtlich war, dass ein Urteilsdispositiv mit einer "Kurzbegründung" von einem begründeten Urteil zu unterscheiden ist. Das zugestellte Urteilsdispositiv und die "Kurzbegründung" waren geeignet, beim Beschwerdeführer den Anschein zu erwecken, dass es sich bereits um die schriftliche Begründung des Urteils handelte und er damit innert Rechtsmittelfrist von 20 Tagen Berufung bei der Vorinstanz einzureichen hatte. Gemäss Art. 2 Abs. 2 StPO können Strafverfahren nur in den vom Gesetz vorgesehenen Formen durchgeführt und abgeschlossen werden. Die Erstinstanz hat mit der Zustellung des Dispositivs zusammen mit einer "Kurzbegründung" die in Art. 399 Abs. 1 und 3 StPO vorgenommene Abgrenzung zwischen der Zustellung des Dispositivs und der Zustellung des begründeten Urteils nicht beachtet. Der beim Beschwerdeführer dadurch erweckte Anschein ist nach dem Grundsatz von Treu und Glauben gemäss Art. 3 Abs. 2 lit. a StPO nicht dem Beschwerdeführer anzulasten. Die Vorinstanz verletzt demnach Bundesrecht, wenn sie auf die Berufung des Beschwerdeführers wegen Fristversäumnis zur Einreichung der Berufungsanmeldung bei der Erstinstanz nicht eintritt.</w:t>
      </w:r>
    </w:p>
    <w:p>
      <w:r>
        <w:rPr>
          <w:b/>
        </w:rPr>
        <w:t>E. 2</w:t>
      </w:r>
    </w:p>
    <w:p>
      <w:r>
        <w:t>Die Beschwerde ist gutzuheissen. Der angefochtene Entscheid ist aufzuheben und die Sache an die Vorinstanz zurückzuweisen. Es erübrigt sich, auf die weiteren Vorbringen des Beschwerdeführers einzugehen. Gerichtskosten werden nicht erhoben ( Art. 66 Abs. 4 BGG ). Bei diesem Verfahrensausgang hat der Kanton Aargau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