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6B_424/2022 vom 11. April 2022</w:t>
      </w:r>
    </w:p>
    <w:p>
      <w:r>
        <w:t>Bundesgericht, 2022-04-11, DE</w:t>
      </w:r>
    </w:p>
    <w:p>
      <w:r>
        <w:rPr>
          <w:b/>
        </w:rPr>
        <w:t xml:space="preserve">Quelle: </w:t>
      </w:r>
      <w:r>
        <w:t>https://mcp.opencaselaw.ch/entscheid/bger_6B_424_2022</w:t>
      </w:r>
    </w:p>
    <w:p>
      <w:r>
        <w:t>FR: TF 6B_424/2022 du 11 avril 2022</w:t>
      </w:r>
    </w:p>
    <w:p>
      <w:r>
        <w:t>IT: TF 6B_424/2022 del 11 aprile 2022</w:t>
      </w:r>
    </w:p>
    <w:p>
      <w:pPr>
        <w:pStyle w:val="Heading2"/>
      </w:pPr>
      <w:r>
        <w:t>Erwägungen</w:t>
      </w:r>
    </w:p>
    <w:p>
      <w:r>
        <w:rPr>
          <w:b/>
        </w:rPr>
        <w:t>E. 1</w:t>
      </w:r>
    </w:p>
    <w:p>
      <w:r>
        <w:t>Die angefochtene Verfügung ist kein Endentscheid im Sinne von Art. 90 BGG . Sie schliesst das Verfahren nicht ab, sondern regelt ausschliesslich die Frage der sofortigen Haftentlassung; das Verfahren um Aufhebung der Massnahme resp. auf Überweisung der Angelegenheit an das urteilende Strafdreiergericht ist vor Appellationsgericht hängig. Es liegt mithin ein selbständig eröffneter Zwischenentscheid gemäss Art. 93 BGG vor.</w:t>
      </w:r>
    </w:p>
    <w:p>
      <w:r>
        <w:t>Nach Art. 93 BGG ("Andere Vor- und Zwischenentscheide") ist gegen selbständig eröffnete Vor- und Zwischenentscheide die Beschwerde an das Bundesgericht unter anderem zulässig, wenn sie einen nicht wiedergutzumachenden Nachteil bewirken können (Abs. 1 lit. a; vgl. dazu BGE 141 IV 289 E. 1.2; 139 IV 113 E. 1; je mit Hinweisen). Ein solcher ist angesichts des bestehenden Freiheitsentzugs evident und zu bejahen. Bei Zwischenentscheiden folgt der Rechtsweg der Hauptsache. Es liegt ein Entscheid über den Vollzug von Strafen und Massnahmen im Sinne von Art. 78 Abs. 2 lit. b BGG vor. Dagegen ist die Beschwerde in Strafsachen zulässig. Zu ihrer Beurteilung ist die Strafrechtliche Abteilung des Bundesgerichts zuständig (Urteil 6B_120/2020 vom 24. Februar 2020 E. 3 mit Hinweisen).</w:t>
      </w:r>
    </w:p>
    <w:p>
      <w:r>
        <w:rPr>
          <w:b/>
        </w:rPr>
        <w:t>E. 2</w:t>
      </w:r>
    </w:p>
    <w:p>
      <w:r>
        <w:t>Gegenstand des Verfahrens bildet die Verweigerung der sofortigen Haftentlassung des Beschwerdeführers durch die Vorinstanz.</w:t>
      </w:r>
    </w:p>
    <w:p>
      <w:r>
        <w:rPr>
          <w:b/>
        </w:rPr>
        <w:t>E. 2.1.1</w:t>
      </w:r>
    </w:p>
    <w:p>
      <w:r>
        <w:t>Vorsorgliche Massnahmen ergehen aufgrund einer bloss provisorischen Prüfung der Sach- und Rechtslage. Erforderlich ist eine Abwägung der auf dem Spiel stehenden Interessen. Der zuständigen Behörde steht dabei ein erheblicher Beurteilungsspielraum zu. Sie ist nicht gehalten, für ihren rein vorsorglichen Entscheid zeitraubende Abklärungen zu treffen, sondern kann sich mit einer summarischen Beurteilung aufgrund der ihr zur Verfügung stehenden Akten begnügen. Die Hauptsachenprognose kann dabei berücksichtigt werden, wenn sie eindeutig ist ( BGE 130 II 149 E. 2.2). Das Bundesgericht kann einen Zwischenentscheid betreffend vorsorgliche Massnahmen nur aufheben, wenn darin wesentliche Interessen und wichtige Gesichtspunkte ausser Acht gelassen oder offensichtlich falsch bewertet wurden und die darin vorgenommene Interessenabwägung jeglicher vernünftiger Grundlage entbehrt (Urteil 6B_120/2020 vom 24. Februar 2020 E. 4.2 mit Hinweis).</w:t>
      </w:r>
    </w:p>
    <w:p>
      <w:r>
        <w:t>Im Übrigen legt das Bundesgericht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(vgl. Art. 97 Abs. 1 und Art. 105 Abs. 2 BGG ). Offensichtlich unrichtig ist die Sachverhaltsfeststellung, wenn sie willkürlich ist ( BGE 143 IV 241 E. 2.3.1; 141 IV 249 E. 1.3.1). Es gilt eine qualifizierte Rügepflicht ( Art. 106 Abs. 2 BGG ; BGE 145 V 304 E. 1.2). Auf ungenügend begründete Rügen oder appellatorische Kritik am angefochtenen Entscheid tritt das Bundesgericht nicht ein ( BGE 142 III 364 E. 2.4).</w:t>
      </w:r>
    </w:p>
    <w:p>
      <w:r>
        <w:rPr>
          <w:b/>
        </w:rPr>
        <w:t>E. 2.1.2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Urteil 6B_855/2020 vom 25. Oktober 2021 E. 3.6.2). Die Begründung ist insbesondere mangelhaft, wenn der angefochtene Entscheid jene tatsächlichen Feststellungen nicht trifft, die zur Überprüfung des eidgenössischen Rechts notwendig sind ( BGE 119 IV 284 E. 5b; Urteil 6B_1080/2020 vom 10. Juni 2021 E. 6.2).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6B_790/2021 vom 20. Januar 2021 E. 1.2.7 mit Hinweisen).</w:t>
      </w:r>
    </w:p>
    <w:p>
      <w:r>
        <w:rPr>
          <w:b/>
        </w:rPr>
        <w:t>E. 2.2</w:t>
      </w:r>
    </w:p>
    <w:p>
      <w:r>
        <w:t>Die Vorinstanz begründet die Abweisung des Antrags um Haftentlassung damit, dass dadurch das Urteil in der Hauptsache faktisch präjudiziert würde. Ferner habe der Beschwerdeführer durch seine frühere Flucht unter Beweis gestellt, dass er nicht gewillt sei, sich strafrechtlichen Entscheiden zu unterziehen. Er stünde deshalb nicht mehr zur Verfügung, wenn das angeordnete forensisch-psychiatrische Gutachten und gestützt darauf das zuständige Gericht zum Schluss gelangen würden, die stationäre Massnahme (Suchtbehandlung) sei fortzusetzen.</w:t>
      </w:r>
    </w:p>
    <w:p>
      <w:r>
        <w:t>Der Beschwerdeführer rügt zu Recht, dass sich aus der angefochtenen Verfügung nicht ergibt, auf welcher Rechtsgrundlage er gegenwärtig in Haft behalten wird. Unter diesen Umständen kann das Bundesgericht deren Rechtmässigkeit nicht überprüfen. Namentlich ist unklar, ob die vom Strafgericht am 5. März 2010 angeordnete Massnahme nach über 10 Jahren der Abwesenheit des Beschwerdeführers überhaupt noch als Grundlage für eine neue Suchtbehandlung dienen kann, zumal sich die Voraussetzungen massgeblich verändert haben dürften. Erst Recht offen ist, unter welchem Rechtstitel die momentane "Abklärungshaft", in der sich der Beschwerdeführer seit nunmehr 8 Monaten befindet, angeordnet wurde. Auch hierzu äussert sich die angefochtene Verfügung nicht. Dies gilt ebenso, soweit darin auf eine abzuwendende Fluchtgefahr Bezug genommen und die Abweisung der Haftentlassung damit begründet wird. Im Übrigen weist der Beschwerdeführer zutreffend darauf hin, dass unter der Annahme, der Freiheitsentzug basiere auf der vom Strafgericht am 5. März 2010 angeordneten Massnahme, was unklar ist, eine rund achtmonatige Unterbringung in einer nicht auf Suchtbehandlungen spezialisierten Haftanstalt als unverhältnismässig erscheint, zumal dies dem Zweck der Massnahme widerspricht. Ohnehin scheint der Beschwerdeführer, soweit dies aufgrund der Akten überhaupt zu überprüfen ist, die gesamte Haftdauer erstanden zu haben.</w:t>
      </w:r>
    </w:p>
    <w:p>
      <w:r>
        <w:t>Nach dem Gesagten ist die angefochtene Verfügung in Anwendung von Art. 112 Abs. 3 BGG aufzuheben. Eine Rückweisung der Sache an die Vorinstanz zur Verbesserung ist angesichts der Schwere des Eingriffs in die Freiheitsrechte des Beschwerdeführers und der Dauer der bereits erstandenen Haft nicht angezeigt. Da nicht klar ist, wer überhaupt für den Entscheid zuständig ist, haben die zuständigen kantonalen Behörden umgehend eine Überprüfung der Haftvoraussetzungen vorzunehmen oder den Beschwerdeführer sofort aus der Haft zu entlassen.</w:t>
      </w:r>
    </w:p>
    <w:p>
      <w:r>
        <w:rPr>
          <w:b/>
        </w:rPr>
        <w:t>E. 3</w:t>
      </w:r>
    </w:p>
    <w:p>
      <w:r>
        <w:t>Die Beschwerde ist gutzuheissen. Die angefochtene Verfügung ist aufzuheben und die Sache zum weiteren Vorgehen im Sinne der Erwägungen an die Vorinstanz zurückzuweisen. Ausgangsgemäss sind keine Gerichtskosten zu erheben und hat der Beschwerdeführer Anspruch auf eine angemessene Parteientschädigung, die seinem Rechtsvertreter auszurichten ist. Damit ist das Gesuch um unentgeltliche Rechtspflege gegenstandslos und abzuschreiben (Art. 64, Art. 66 Abs. 1 und 4, Art. 68 Abs. 1 und 2 BGG ). Dasselbe gilt aufgrund der Entscheidung in der Sache für den prozessualen Antrag des Beschwerdeführers um vorsorgliche Haftentlassung.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