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424/2016 vom 13. Mai 2016</w:t>
      </w:r>
    </w:p>
    <w:p>
      <w:r>
        <w:t>Bundesgericht, 2016-05-13, FR</w:t>
      </w:r>
    </w:p>
    <w:p>
      <w:r>
        <w:rPr>
          <w:b/>
        </w:rPr>
        <w:t xml:space="preserve">Quelle: </w:t>
      </w:r>
      <w:r>
        <w:t>https://mcp.opencaselaw.ch/entscheid/bger_6B_424_2016</w:t>
      </w:r>
    </w:p>
    <w:p>
      <w:r>
        <w:t>FR: TF 6B 424/2016 du 13 mai 2016</w:t>
      </w:r>
    </w:p>
    <w:p>
      <w:r>
        <w:t>IT: TF 6B 424/2016 del 13 maggio 2016</w:t>
      </w:r>
    </w:p>
    <w:p>
      <w:pPr>
        <w:pStyle w:val="Heading2"/>
      </w:pPr>
      <w:r>
        <w:t>Regeste</w:t>
      </w:r>
    </w:p>
    <w:p>
      <w:r>
        <w:t>Ordonnance de non-entrée en matière, plainte tardive | Procédure pénale</w:t>
      </w:r>
    </w:p>
    <w:p>
      <w:pPr>
        <w:pStyle w:val="Heading2"/>
      </w:pPr>
      <w:r>
        <w:t>Erwägungen</w:t>
      </w:r>
    </w:p>
    <w:p>
      <w:r>
        <w:rPr>
          <w:b/>
        </w:rPr>
        <w:t>E. 1</w:t>
      </w:r>
    </w:p>
    <w:p>
      <w:r>
        <w:t>Par arrêt du 6 février 2016, la Chambre des recours pénale du Tribunal cantonal vaudois a rejeté le recours de X.________ et confirmé l'ordonnance du 11 décembre 2015 refusant d'entrer en matière sur la plainte du prénommé contre A.C.________ et B.C.________ pour atteintes et mises en danger à son intégrité corporelle, non-respect de la signalisation routière, intrusion sur une propriété privée, injures et insultes. En bref, elle a considéré qu'une convention liant les parties ne pouvait pas interrompre le cours du délai de plainte de trois mois prévu à l' art. 31 CP . En outre, X.________ avait eu connaissance des infractions dénoncées et de leurs auteurs dès le 9 décembre 2014, de sorte que la plainte pénale y relative qu'il avait déposée le 21 avril 2005 l'avait été tardivement.</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Le recourant ne se détermine nullement sur un éventuel tort moral ou dommage, ni sur leur principe ni sur leur quotité. L'absence d'explication sur la question des prétentions civiles exclut sa qualité pour recourir sur le fond de la cause. Les griefs soulevés en ce sens sont irrecevables.</w:t>
      </w:r>
    </w:p>
    <w:p>
      <w:r>
        <w:rPr>
          <w:b/>
        </w:rPr>
        <w:t>E. 3</w:t>
      </w:r>
    </w:p>
    <w:p>
      <w:r>
        <w:t>S'agissant de son droit de porter plainte, le recourant déclare douter que la prescription d'un délit d'agression corporelle soit de trois mois. Il ajoute qu'il existait un accord réciproque entre les parties de ne pas porter plainte. Selon l' art. 42 al. 1 LTF , les mémoires de recours au Tribunal fédéral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Sans autre développement, les griefs soulevés par le recourant ne satisfont pas aux exigences de motivation d'un recours en matière pénale susmentionnées.</w:t>
      </w:r>
    </w:p>
    <w:p>
      <w:r>
        <w:rPr>
          <w:b/>
        </w:rPr>
        <w:t>E. 4</w:t>
      </w:r>
    </w:p>
    <w:p>
      <w:r>
        <w:t>Sur le vu de ce qui précède, le recours doit être déclaré irrecevable selon la procédure simplifiée prévue par l' art. 108 al. 1 let. a et b LTF .</w:t>
      </w:r>
    </w:p>
    <w:p>
      <w:r>
        <w:rPr>
          <w:b/>
        </w:rPr>
        <w:t>E. 5</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