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6B_423/2020 vom 4. September 2020</w:t>
      </w:r>
    </w:p>
    <w:p>
      <w:r>
        <w:t>Bundesgericht, 2020-09-04, FR</w:t>
      </w:r>
    </w:p>
    <w:p>
      <w:r>
        <w:rPr>
          <w:b/>
        </w:rPr>
        <w:t xml:space="preserve">Quelle: </w:t>
      </w:r>
      <w:r>
        <w:t>https://mcp.opencaselaw.ch/entscheid/bger_6B_423_2020</w:t>
      </w:r>
    </w:p>
    <w:p>
      <w:r>
        <w:t>FR: TF 6B_423/2020 du 4 septembre 2020</w:t>
      </w:r>
    </w:p>
    <w:p>
      <w:r>
        <w:t>IT: TF 6B_423/2020 del 4 settembre 2020</w:t>
      </w:r>
    </w:p>
    <w:p>
      <w:pPr>
        <w:pStyle w:val="Heading2"/>
      </w:pPr>
      <w:r>
        <w:t>Erwägungen</w:t>
      </w:r>
    </w:p>
    <w:p>
      <w:r>
        <w:rPr>
          <w:b/>
        </w:rPr>
        <w:t>E. 1</w:t>
      </w:r>
    </w:p>
    <w:p>
      <w:r>
        <w:t>Le recourant reproche à la cour cantonale d'avoir apprécié les preuves et établi les faits de manière arbitraire. Il se plaint,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 cour cantonale a exposé que le recourant avait tout d'abord admis avoir commis l'infraction du 20 mai 2013, avant de changer de ligne de défense dans le cadre de la procédure d'appel et de nier s'être trouvé au volant du véhicule concerné. Ces dénégations étaient ainsi peu crédibles. L'intéressé avait alors expliqué qu'il n'aurait pu atteindre le lieu de commission de l'infraction, compte tenu de l'heure à laquelle il avait quitté la prison où il séjournait. L'excès de vitesse avait été réalisé à 8 h 36, tandis que le recourant avait quitté la prison à 8 h 30 selon les relevés de cet établissement. Selon l'itinéraire ressortant de "Google Maps", une dizaine de minutes semblaient nécessaires pour effectuer le trajet en question. Les relevés de sortie de la prison étaient cependant arrondis à 5 minutes près. Par ailleurs, l'itinéraire précité ne prenait pas en considération un véhicule circulant à une vitesse excessive, comme celui ayant été impliqué dans l'infraction. Une comparaison des personnes photographiées à l'occasion d'une infraction admise par le recourant et de celle du 20 mai 2013 révélait par ailleurs de grandes similitudes des traits. Il convenait donc de retenir que ce dernier avait bien conduit le véhicule impliqué dans les événements du 20 mai 2013.</w:t>
      </w:r>
    </w:p>
    <w:p>
      <w:r>
        <w:rPr>
          <w:b/>
        </w:rPr>
        <w:t>E. 1.3</w:t>
      </w:r>
    </w:p>
    <w:p>
      <w:r>
        <w:t>L'argumentation du recourant se révèle purement appellatoire et, partant, irrecevable. L'intéressé se contente en effet de substituer sa propre appréciation des preuves à celle de l'autorité précédente, sans aucunement en démontrer l'arbitraire. Au demeurant, le recourant ne prétend pas qu'une autre personne aurait pu se trouver au volant du véhicule concerné.</w:t>
      </w:r>
    </w:p>
    <w:p>
      <w:r>
        <w:rPr>
          <w:b/>
        </w:rPr>
        <w:t>E. 2</w:t>
      </w:r>
    </w:p>
    <w:p>
      <w:r>
        <w:t>Le recourant soutient que la cour cantonale aurait violé les garanties constitutionnelles de la proportionnalité et de la propriété en refusant de restituer le véhicule D.________ à G.________, respectivement le véhicule C.________ châssis no yyy à E.________.</w:t>
      </w:r>
    </w:p>
    <w:p>
      <w:r>
        <w:rPr>
          <w:b/>
        </w:rPr>
        <w:t>E. 2.1</w:t>
      </w:r>
    </w:p>
    <w:p>
      <w:r>
        <w:t>Aux termes de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6B_1114/2019 du 20 novembre 2019 consid. 1.1). La motivation de l'arrêt de renvoi détermine dans quelle mesure la cour cantonale est liée à la première décision, décision de renvoi qui fixe aussi bien le cadre du nouvel état de fait que celui de la nouvelle motivation juridique ( ATF 135 III 334 consid. 2 p. 335). Les faits nouveaux ne peuvent être pris en considération que sur les points ayant fait l'objet du renvoi, lesquels ne peuvent être ni étendus, ni fondés sur une base juridique nouvelle ( ATF 135 III 334 consid. 2 p. 335; arrêt 6B_1114/2019 précité consid. 1.1).</w:t>
      </w:r>
    </w:p>
    <w:p>
      <w:r>
        <w:rPr>
          <w:b/>
        </w:rPr>
        <w:t>E. 2.2</w:t>
      </w:r>
    </w:p>
    <w:p>
      <w:r>
        <w:t>Dans son arrêt de renvoi du 22 février 2019, le Tribunal fédéral avait indiqué que la cour cantonale devrait entrer en matière sur l'appel joint formé par le recourant, dans la mesure où celui-ci concernait les infractions impliquant les véhicules B.________ châssis no xxx et D.________. Il avait précisé que, en cas d'acquittement du recourant concernant l'une ou l'autre de ces infractions, la cour cantonale devrait également examiner à nouveau, cas échéant, la question de la confiscation et de la réalisation des véhicules précités (consid. 1.3).</w:t>
      </w:r>
    </w:p>
    <w:p>
      <w:r>
        <w:t>Il apparaît donc que c'est conformément aux instructions données par le Tribunal fédéral dans son arrêt de renvoi du 22 février 2019 que la cour cantonale a renoncé à examiner à nouveau la question de la confiscation du véhicule D.________, le recourant n'ayant pas bénéficié d'un acquittement concernant l'une des infractions dans lesquelles cette voiture a été impliquée.</w:t>
      </w:r>
    </w:p>
    <w:p>
      <w:r>
        <w:rPr>
          <w:b/>
        </w:rPr>
        <w:t>E. 2.3</w:t>
      </w:r>
    </w:p>
    <w:p>
      <w:r>
        <w:t>S'agissant du véhicule C.________ châssis no yyy, il apparaît que la question de sa confiscation et de sa réalisation ne faisait plus l'objet de la procédure d'appel après l'arrêt de renvoi du 22 février 2019.</w:t>
      </w:r>
    </w:p>
    <w:p>
      <w:r>
        <w:t>En outre, au pied de son mémoire d'appel du 19 juillet 2019, le recourant avait uniquement conclu à ce que le véhicule D.________ soit restitué à G.________ (cf. jugement attaqué, p. 10), sans prendre aucune conclusion relative à la voiture C.________ châssis no yyy.</w:t>
      </w:r>
    </w:p>
    <w:p>
      <w:r>
        <w:t>L'argumentation du recourant consacrée à la question de la confiscation et de la réalisation de ce dernier véhicule est donc irrecevable, cet aspect n'ayant pas fait l'objet de la procédure d'appel (cf. art. 80 al. 1 LTF ).</w:t>
      </w:r>
    </w:p>
    <w:p>
      <w:r>
        <w:rPr>
          <w:b/>
        </w:rPr>
        <w:t>E. 3</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