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6B_423/2016 vom 26. Januar 2017</w:t>
      </w:r>
    </w:p>
    <w:p>
      <w:r>
        <w:t>Bundesgericht, 2017-01-26, DE</w:t>
      </w:r>
    </w:p>
    <w:p>
      <w:r>
        <w:rPr>
          <w:b/>
        </w:rPr>
        <w:t xml:space="preserve">Quelle: </w:t>
      </w:r>
      <w:r>
        <w:t>https://mcp.opencaselaw.ch/entscheid/bger_6B_423_2016</w:t>
      </w:r>
    </w:p>
    <w:p>
      <w:r>
        <w:t>FR: TF 6B_423/2016 du 26 janvier 2017</w:t>
      </w:r>
    </w:p>
    <w:p>
      <w:r>
        <w:t>IT: TF 6B_423/2016 del 26 gennaio 2017</w:t>
      </w:r>
    </w:p>
    <w:p>
      <w:pPr>
        <w:pStyle w:val="Heading2"/>
      </w:pPr>
      <w:r>
        <w:t>Erwägungen</w:t>
      </w:r>
    </w:p>
    <w:p>
      <w:r>
        <w:rPr>
          <w:b/>
        </w:rPr>
        <w:t>E. 1</w:t>
      </w:r>
    </w:p>
    <w:p>
      <w:r>
        <w:t>Die Beschwerdeführerin macht geltend, die Vorinstanz habe ihren Anspruch gegenüber dem Beschwerdegegner auf angemessene Entschädigung für notwendige Aufwendungen im Verfahren verletzt und ihr zu Unrecht Verfahrenskosten auferlegt.</w:t>
      </w:r>
    </w:p>
    <w:p>
      <w:r>
        <w:t>Die Parteikosten sind untrennbar mit dem Strafverfahren verbunden ( BGE 139 IV 102 E. 4.1 S. 107), weshalb die Beschwerde in Strafsachen zulässig ist (vgl. BGE 135 IV 43 E. 1.1.1 S. 45 f.; Urteile 6B_233/2016 vom 30. Dezember 2016 E. 1; 6B_1000/2015 vom 28. September 2016 E. 2; 6B_833/2015 vom 30. August 2016 E. 1; 6B_549/2015 vom 16. März 2016 E. 1).</w:t>
      </w:r>
    </w:p>
    <w:p>
      <w:r>
        <w:t>Die Beschwerdeführerin ist durch den vorinstanzlichen Kosten- und Entschädigungsentscheid unmittelbar betroffen und hat ein rechtlich geschütztes Interesse an dessen Aufhebung (vgl. BGE 138 IV 248 E. 2 S. 250; 135 IV 43 E. 1.1.1 S. 46; Urteile 6B_620/2015 vom 3. März 2016 E. 1; 1B_704/2011 vom 11. Juli 2012 E. 1.3, nicht publ. in: BGE 138 IV 197 ).</w:t>
      </w:r>
    </w:p>
    <w:p>
      <w:r>
        <w:rPr>
          <w:b/>
        </w:rPr>
        <w:t>E. 2.1</w:t>
      </w:r>
    </w:p>
    <w:p>
      <w:r>
        <w:t>Die Vorinstanz erwägt, ob eine Partei als obsiegend oder unterliegend gelte, hänge davon ab, in welchem Ausmass ihre Anträge gutgeheissen würden. Die Beschwerdeführerin habe sich hinsichtlich des Verkehrsunfalls vom 22. August 2013 als Straf- und Zivilklägerin konstituiert und eine Verurteilung wegen Sachbeschädigung, pflichtwidrigen Verhaltens bei Unfall und Unterlassen der Zeichengebung bei Richtungsänderung verlangt. Zudem habe sie abweichend von der Anklage eine Verurteilung wegen vorsätzlicher einfacher Körperverletzung und grober Verkehrsregelverletzung wegen Missachtung des Vortritts beim Rechtsabbiegen gegenüber dem Radfahrer auf dem Radstreifen beantragt. Die Beschwerdeführerin habe ausgeführt, eine definitive Bezifferung der Forderung auf Schadenersatz und Genugtuung sei noch nicht möglich, weshalb die Zivilforderung auf den Zivilweg zu verweisen sei. Die erste Instanz habe den Beschwerdegegner wegen fahrlässiger Körperverletzung verurteilt und von den Vorwürfen der Sachbeschädigung sowie verschiedener Verkehrsregelverletzungen freigesprochen. Die Zivilklage habe sie auf den Zivilweg verwiesen.</w:t>
      </w:r>
    </w:p>
    <w:p>
      <w:r>
        <w:t>Die Beschwerdeführerin habe im Strafpunkt insofern obsiegt, als sie eine Verurteilung des Beschwerdegegners wegen einfacher Körperverletzung verlangt habe. Sie sei jedoch unterlegen, soweit sie eine Verurteilung wegen vorsätzlicher statt fahrlässiger Körperverletzung beantragt habe. Die Privatklägerschaft könne mit Berufung eine andere rechtliche Qualifikation der Straftat verlangen. Deshalb sei dieser Faktor auch bei der Beurteilung von Obsiegen und Unterliegen im Zusammenhang mit den Kosten- und Entschädigungsfolgen zu berücksichtigen. Die Beschwerdeführerin obsiege im Strafpunkt mit ihrem Antrag auf Verurteilung wegen einfacher Körperverletzung im Grundsatz, das heisse bezüglich des objektiven Tatbestands. Mit ihren Anträgen auf Verurteilung wegen Sachbeschädigung und Verstössen gegen das Strassenverkehrsgesetz sei sie vollumfänglich unterlegen.</w:t>
      </w:r>
    </w:p>
    <w:p>
      <w:r>
        <w:t>Bei der Körperverletzung habe es sich um den wesentlichsten Tatbestand gehandelt. Hier sei "im Grundsatz (objektiver Tatbestand) " eine Verurteilung erfolgt. Deshalb sei im Strafpunkt von einem Obsiegen von 9/16 auszugehen (3/4 für den Tatbestand "einfache Körperverletzung", davon 3/4 wegen anderer rechtlicher Qualifikation des subjektiven Tatbestands).</w:t>
      </w:r>
    </w:p>
    <w:p>
      <w:r>
        <w:t>Im Zivilpunkt habe die Beschwerdeführerin nicht obsiegt, nachdem sie selber verlangt habe, dass ihre Forderung auf Schadenersatz und Genugtuung auf den Zivilweg verwiesen werde.</w:t>
      </w:r>
    </w:p>
    <w:p>
      <w:r>
        <w:t>Die Vorinstanz veranschlagt die angemessene Entschädigung für notwendige Aufwendungen der Beschwerdeführerin im Strafpunkt mit Fr. 4'928.55 und verpflichtet den Beschwerdegegner, der Beschwerdeführerin 9/16 davon, das heisst, Fr. 2'772.30, zu ersetzen.</w:t>
      </w:r>
    </w:p>
    <w:p>
      <w:r>
        <w:rPr>
          <w:b/>
        </w:rPr>
        <w:t>E. 2.2</w:t>
      </w:r>
    </w:p>
    <w:p>
      <w:r>
        <w:t>Die Beschwerdeführerin anerkennt die vorinstanzliche Abgrenzung der Parteikosten im Straf- sowie im Zivilpunkt und ficht insbesondere nicht an, dass im Strafpunkt eine Entschädigung von Fr. 4'928.55 resultiere. Sie rügt aber eine Verletzung von Art. 433 Abs. 1 lit. a StPO und macht geltend, sie habe sich als Zivil- und Strafklägerin konstituiert hinsichtlich des Unfalls vom 22. August 2013. Dabei handle es sich um einen einzigen Sachverhalt. In den übrigen Strafdossiers sei der Beschwerdeführerin keine Privatklägerstellung zugekommen. Da der Beschwerdegegner im Zusammenhang mit dem Verkehrsunfall wegen fahrlässiger Körperverletzung und pflichtwidrigen Verhaltens bei Unfall verurteilt worden sei, habe sie im Strafpunkt obsiegt.</w:t>
      </w:r>
    </w:p>
    <w:p>
      <w:r>
        <w:rPr>
          <w:b/>
        </w:rPr>
        <w:t>E. 2.3</w:t>
      </w:r>
    </w:p>
    <w:p>
      <w:r>
        <w:t>Die Parteikosten sind untrennbar mit dem Strafverfahren verbunden und wie die Verfahrenskosten vom Strafgericht mit der Hauptsache oder mit separatem Entscheid zu beurteilen. Sie können mit anderen Forderungen aus unerlaubter Handlung nicht gleichgesetzt werden ( BGE 139 IV 102 E. 4.1 S. 107; 135 IV 43 E. 1.1.1 S. 45 f.; je mit Hinweisen). Insofern erkannte die Vorinstanz zutreffend, dass die erste Instanz auf die Entschädigungsforderung der Beschwerdeführerin hätte eintreten müssen.</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Art. 119 Abs. 2 lit. a und b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w:t>
      </w:r>
    </w:p>
    <w:p>
      <w:r>
        <w:t>Nach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(vgl. BGE 139 IV 102 E. 4.3 S. 108; Urteile 6B_397/2014 vom 28. August 2014 E. 4.1 f.; 6B_1046/2013 vom 14. Mai 2014 E. 2.3).</w:t>
      </w:r>
    </w:p>
    <w:p>
      <w:r>
        <w:rPr>
          <w:b/>
        </w:rPr>
        <w:t>E. 2.4</w:t>
      </w:r>
    </w:p>
    <w:p>
      <w:r>
        <w:t>Die Beschwerdeführerin konstituierte sich im Straf- wie im Zivilpunkt als Privatklägerschaft. Was die erstinstanzlichen Kosten- und Entschädigungsfolgen betrifft, obsiegte die Beschwerdeführerin als Strafklägerin, weil es zu einer Verurteilung des Beschwerdegegners kam. Entgegen den vorinstanzlichen Ausführungen ist die rechtliche Qualifikation seines Verhaltens nicht ausschlaggebend (Urteile 6B_318/2016 vom 13. Oktober 2016 E. 4.1; 6B_1025/2014 vom 9. Februar 2015 E. 2.3.1; 6B_803/2014 vom 15. Januar 2015 E. 3.5; 6B_397/2014 vom 28. August 2014 E. 4.2). Insofern bleibt es ohne Auswirkungen für die Kosten und Entschädigung, dass die Beschwerdeführerin an der erstinstanzlichen Hauptverhandlung auf vorsätzliche einfache Körperverletzung plädierte.</w:t>
      </w:r>
    </w:p>
    <w:p>
      <w:r>
        <w:rPr>
          <w:b/>
        </w:rPr>
        <w:t>E. 3</w:t>
      </w:r>
    </w:p>
    <w:p>
      <w:r>
        <w:t>Die Beschwerde ist gutzuheissen und die Sache zur Neubeurteilung an die Vorinstanz zurückzuweisen. Diese wird die Kosten des Berufungsverfahrens dem Beschwerdegegner aufzuerlegen und diesen zu verpflichten haben, der Beschwerdeführerin eine angemessene Parteientschädigung zu bezahlen. Für das bundesgerichtliche Verfahren sind keine Kosten zu erheben ( Art. 66 Abs. 4 BGG ). Der Kanton Aargau hat die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