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422/2011 vom 7. Oktober 2011</w:t>
      </w:r>
    </w:p>
    <w:p>
      <w:r>
        <w:t>Bundesgericht, 2011-10-07, FR</w:t>
      </w:r>
    </w:p>
    <w:p>
      <w:r>
        <w:rPr>
          <w:b/>
        </w:rPr>
        <w:t xml:space="preserve">Quelle: </w:t>
      </w:r>
      <w:r>
        <w:t>https://mcp.opencaselaw.ch/entscheid/bger_6B_422_2011</w:t>
      </w:r>
    </w:p>
    <w:p>
      <w:r>
        <w:t>FR: TF 6B 422/2011 du 7 octobre 2011</w:t>
      </w:r>
    </w:p>
    <w:p>
      <w:r>
        <w:t>IT: TF 6B 422/2011 del 7 ottobre 2011</w:t>
      </w:r>
    </w:p>
    <w:p>
      <w:pPr>
        <w:pStyle w:val="Heading2"/>
      </w:pPr>
      <w:r>
        <w:t>Regeste</w:t>
      </w:r>
    </w:p>
    <w:p>
      <w:r>
        <w:t>Utilisation abusive d'une installation de télécommunication (art. 179septies CP), menaces (art. 180 CP); arbitraire | Infractions</w:t>
      </w:r>
    </w:p>
    <w:p>
      <w:pPr>
        <w:pStyle w:val="Heading2"/>
      </w:pPr>
      <w:r>
        <w:t>Erwägungen</w:t>
      </w:r>
    </w:p>
    <w:p>
      <w:r>
        <w:rPr>
          <w:b/>
        </w:rPr>
        <w:t>E. 1.1</w:t>
      </w:r>
    </w:p>
    <w:p>
      <w:r>
        <w:t>Ayant constaté que le pourvoi du 6 janvier 2011 contre la décision de la Présidente du Tribunal de police du 23 novembre 2010 n'était pas signé, la Cour de cassation pénale a imparti à X.________, aux termes d'un courrier recommandé daté du 19 janvier 2011, un délai de cinq jours afin de compléter son écriture. Le prénommé n'ayant pas donné suite à l'injonction, la cour cantonale a déclaré le recours irrecevable. Le recourant conteste ce prononcé pour le motif qu'il n'aurait reçu aucun avis l'invitant à retirer à la poste le pli recommandé du 19 janvier 2011.</w:t>
      </w:r>
    </w:p>
    <w:p>
      <w:r>
        <w:rPr>
          <w:b/>
        </w:rPr>
        <w:t>E. 1.2</w:t>
      </w:r>
    </w:p>
    <w:p>
      <w:r>
        <w:t>Selon la jurisprudence, le fardeau de la preuve de la notification et de la date de celle-ci incombe en principe à l'autorité qui entend en tirer une conséquence juridique ( ATF 129 I 8 consid. 2.2 p. 10 et les références citées). 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 ATF 134 V 49 consid. 4 p. 51; 130 III 396 consid. 1.2.3 p. 399; 123 III 492 consid. 1 p. 493; 119 V 89 consid. 4b/aa p. 94). Cette approche est désormais reprise à l' art. 85 al. 4 CPP . La notification consiste à faire parvenir l'information dans la sphère de compétence du destinataire. Son existence ne peut être retenue que s'il est établi qu'une invitation à retirer un pli recommandé a bien été déposée dans la boîte à lettres du destinataire. Il n'y a dès lors pas d'opposition à une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à lettres, elle ignore de bonne foi qu'un tel envoi est conservé à son attention au bureau de poste de son domicile (arrêts 8C_621/2007 du 5 mai 2008 consid. 4.2; 6A.100/2006 du 28 mars 2007 consid. 2.2.1).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 2C_38/2009 du 5 juin 2009 consid. 4.1).</w:t>
      </w:r>
    </w:p>
    <w:p>
      <w:r>
        <w:rPr>
          <w:b/>
        </w:rPr>
        <w:t>E. 1.3</w:t>
      </w:r>
    </w:p>
    <w:p>
      <w:r>
        <w:t>Le recourant ne conteste pas le défaut de signature de son recours du 6 janvier 2011, ni que la cour cantonale l'a invité à régulariser son écriture par pli recommandé du 19 janvier 2011, lequel lui a été retourné faute d'avoir été réclamé. Les constatations cantonales laissent ainsi présumer que l'avis de retrait a été correctement déposé dans la boîte à lettres du recourant, de manière à renverser la présomption évoquée ci-dessus (consid. 1.2). Il incombait dès lors à ce dernier de démontrer dans son recours au tribunal de céans, qu'une telle constatation des faits était arbitraire ( art. 9 Cst. ). Or, les arguments avancés par le recourant ne parviennent pas à faire apparaître insoutenable le point de vue de l'autorité précédente. Celui-là évoque en effet la possibilité d'une erreur de distribution imputable, selon lui, à l'inexpérience des jeunes facteurs, sans pour autant indiquer en quoi le risque d'erreur serait plus élevé dans son cas particulier que la normale. Il en avait été ainsi dans l'affaire 2C_38/2009 dont l'instruction avait établi que des erreurs de distribution d'avis de retrait s'étaient produites à répétition dans les cases postales d'un office de poste durant la période concernée (arrêt précité consid. 5.3). Tel n'est cependant pas le cas en l'occurrence, le recourant se bornant à émettre une hypothèse. Dans ces circonstances et compte tenu du fait que le pli recommandé a été retourné avec la mention "non réclamé", la cour cantonale pouvait retenir sans arbitraire que l'avis de retrait avait été déposé de manière correcte dans la boîte à lettres du recourant et que la notification était par conséquent présumée avoir eu lieu au terme du délai de garde de sept jours. Cela étant, et attendu que le recourant devait s'attendre à recevoir des communications de la cour cantonale après l'avoir saisie d'un recours, le grief se révèle mal fondé.</w:t>
      </w:r>
    </w:p>
    <w:p>
      <w:r>
        <w:rPr>
          <w:b/>
        </w:rPr>
        <w:t>E. 2</w:t>
      </w:r>
    </w:p>
    <w:p>
      <w:r>
        <w:t>Par ailleurs, on ne saurait, à l'instar du recourant, reprocher à la cour cantonale d'avoir fait preuve de formalisme excessif en exigeant qu'il régularise son recours du 6 janvier 2011 en le signant, cette démarche ayant été la seule permettant à la juridiction de s'assurer que l'écriture dont elle se trouvait saisie émanait bien du recourant. Au demeurant, l'irrecevabilité du relief n'empêchera pas ce dernier de contester la motivation du rejet de sa demande de récusation, aussi bien que celle au fond du jugement du 14 septembre 2010, comme la juridiction cantonale l'a souligné à juste titre (arrêt attaqué, consid. 7).</w:t>
      </w:r>
    </w:p>
    <w:p>
      <w:r>
        <w:rPr>
          <w:b/>
        </w:rPr>
        <w:t>E. 3</w:t>
      </w:r>
    </w:p>
    <w:p>
      <w:r>
        <w:t>Comme les conclusions du recours étaient ainsi d'emblée vouées à l'échec, l'assistance judiciaire ne peut pas être accordée ( art. 64 al. 1 LTF ). Le recourant devra donc supporter les frais judiciaires ( art. 66 al. 1 LTF ), réduits à 800 fr. pour tenir compte de sa situation financière.</w:t>
      </w:r>
    </w:p>
    <w:p>
      <w:r>
        <w:rPr>
          <w:b/>
        </w:rPr>
        <w:t>E. 4</w:t>
      </w:r>
    </w:p>
    <w:p>
      <w:r>
        <w:t>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