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419/2013 vom 26. September 2013</w:t>
      </w:r>
    </w:p>
    <w:p>
      <w:r>
        <w:t>Bundesgericht, 2013-09-26, FR</w:t>
      </w:r>
    </w:p>
    <w:p>
      <w:r>
        <w:rPr>
          <w:b/>
        </w:rPr>
        <w:t xml:space="preserve">Quelle: </w:t>
      </w:r>
      <w:r>
        <w:t>https://mcp.opencaselaw.ch/entscheid/bger_6B_419_2013</w:t>
      </w:r>
    </w:p>
    <w:p>
      <w:r>
        <w:t>FR: TF 6B 419/2013 du 26 septembre 2013</w:t>
      </w:r>
    </w:p>
    <w:p>
      <w:r>
        <w:t>IT: TF 6B 419/2013 del 26 settembre 2013</w:t>
      </w:r>
    </w:p>
    <w:p>
      <w:pPr>
        <w:pStyle w:val="Heading2"/>
      </w:pPr>
      <w:r>
        <w:t>Regeste</w:t>
      </w:r>
    </w:p>
    <w:p>
      <w:r>
        <w:t>Abus de confiance; droit d'être entendu | Infractions</w:t>
      </w:r>
    </w:p>
    <w:p>
      <w:pPr>
        <w:pStyle w:val="Heading2"/>
      </w:pPr>
      <w:r>
        <w:t>Erwägungen</w:t>
      </w:r>
    </w:p>
    <w:p>
      <w:r>
        <w:rPr>
          <w:b/>
        </w:rPr>
        <w:t>E. 1</w:t>
      </w:r>
    </w:p>
    <w:p>
      <w:r>
        <w:t>ad art. 406 CPP ). La procédure écrite est soumise à des conditions strictes. Ainsi, alors que l' art. 406 al. 2 CPP traite des cas dans lesquels l'appel peut faire l'objet d'une procédure écrite avec l'accord des parties, l' art. 406 al. 1 CPP énumère les cas dans lesquels la juridiction d'appel peut, sans que l'accord des parties ne soit nécessaire, traiter l'appel en procédure écrite. Il s'agit notamment du cas où seuls des points de droit doivent être tranchés (let. a). Il en découle que la procédure écrite est exclue lorsque les faits sont discutés. A cet égard, l' art. 406 CPP offre moins de souplesse que la jurisprudence rendue en relation avec les garanties de l'oralité et de la publicité des débats, composantes du droit à un procès équitable, déduites des art. 29 al. 1, 30 al. 3 Cst., 6 par. 1 CEDH et 14 ch. 1 Pacte ONU II. En effet, selon cette jurisprudence, le droit de comparaître personnellement doit être respecté devant les juridictions de première instance; l'absence de débats en appel ou en cassation n'est pas nécessairement contraire à la garantie du procès équitable lorsqu'il s'agit de questions de fait qui peuvent être aisément tranchées sur la base du dossier et qui n'obligent pas à une appréciation directe de la personnalité de l'accusé ( ATF 119 Ia 316 consid. 2b; arrêt 6B_362/2012 du 29 octobre 2012 consid. 7.3.2). De telles exceptions ne sont pas prévues dans le cadre de l' art. 406 CPP , des débats devant être tenus dès qu'une question de fait est litigieuse, sous réserve de l'accord des parties avec la procédure écrite. La distinction entre les faits et le droit n'est pas toujours aisée (il est renvoyé à cet égard à l'abondante jurisprudence citée par la doctrine, not. YVES DONZALLAZ, Loi sur le Tribunal fédéral, Commentaire, 2008, n o 3693 ad art. 97 LTF ; MEYER/DORMANN, in Basler Kommentar, Bundesgerichtsgesetz, 2 e éd. 2011, nos 34 à 35f ad art. 105 LTF ). Dans le doute, l'autorité d'appel doit tenir des débats.</w:t>
      </w:r>
    </w:p>
    <w:p>
      <w:r>
        <w:rPr>
          <w:b/>
        </w:rPr>
        <w:t>E. 1.1</w:t>
      </w:r>
    </w:p>
    <w:p>
      <w:r>
        <w:t>La procédure d'appel est réglée par les art. 403 ss CPP . En principe, elle est orale et publique et se déroule selon les dispositions applicables aux débats de première instance (cf. art. 69 al. 1 et 405 CPP ; Message relatif à l'unification du droit de la procédure pénale du 21 décembre 2005, FF 2006 p. 1300). Elle peut toutefois se dérouler selon une procédure écrite dans les cas visés à l' art. 406 al. 1 et 2 CPP . Cette disposition énumère exhaustivement les cas dans lesquels la juridiction d'appel peut traiter l'appel en procédure écrite. Le législateur n'a en effet prévu cette possibilité qu'à titre exceptionnel (cf. MARKUS HUG, in Kommentar zur Schweizerischen Strafprozessordnung, Donatsch/Hansjakob/Lieber [éd.], 2010, n o</w:t>
      </w:r>
    </w:p>
    <w:p>
      <w:r>
        <w:rPr>
          <w:b/>
        </w:rPr>
        <w:t>E. 1.2</w:t>
      </w:r>
    </w:p>
    <w:p>
      <w:r>
        <w:t>En substance, la cour cantonale a retenu que le recourant avait conclu à son acquittement. Elle a estimé que, ce faisant, il ne contestait pas les faits retenus par l'autorité de première instance à son encontre, mais l'appréciation juridique à laquelle elle s'était livrée pour fonder sa culpabilité. La qualification juridique des faits étant une question de droit, il se justifiait de traiter l'appel en procédure écrite.</w:t>
      </w:r>
    </w:p>
    <w:p>
      <w:r>
        <w:rPr>
          <w:b/>
        </w:rPr>
        <w:t>E. 1.3</w:t>
      </w:r>
    </w:p>
    <w:p>
      <w:r>
        <w:t>Le raisonnement de la cour cantonale ne peut être suivi. Le recourant a conclu à son acquittement, cette conclusion se fondant sur une remise en cause des faits. Il contestait notamment le but des versements opérés par B.________ et son implication dans l'utilisation des fonds à des fins personnelles. La cour cantonale ne pouvait ainsi con-sidérer que seules des questions de droit étaient en cause. Comme le relève le recourant, l'appréciation des preuves, même si elle se fonde sur des principes juridiques tels que la présomption d'innocence, doit permettre au tribunal d'établir les faits dont il a acquis la conviction qu'ils se sont produits. Une fois les faits établis, le tribunal doit, dans un deuxième temps, procéder à l'appréciation juridique de ceux-ci, c'est-à-dire à leur qualification, qui est une question de droit. Pour des motifs de clarté, ces deux étapes devraient être traitées distinctement et non dans les mêmes considérants. Lorsque l'autorité d'appel doit procéder à une nouvelle appréciation des preuves, comme elle l'a fait en l'espèce (cf. arrêt p. 43 à 53), elle traite des questions de fait et elle ne peut pas examiner l'appel en procédure écrite selon l' art. 406 al. 1 CPP . A noter en l'occurrence que le recourant a déposé une déclaration d'appel motivée, ce qu'il n'était pas tenu de faire (cf. art. 399 al. 3 CPP ). S'il s'était contenté de conclure à son acquittement, cela aurait suffit pour considérer qu'il remettait potentiellement en cause les faits et, par conséquent, pour interdire la procédure écrite, à tout le moins sans son accord. Au surplus, le dépôt d'une déclaration d'appel motivée n'empêche pas la partie de présenter d'autres critiques factuelles ou juridiques lors des débats, dans la mesure où elles restent dans le cadre des points contestés par les conclusions. Contrairement à ce que soutient la cour cantonale dans ses déterminations, le fait que le recourant soit domicilié à l'étranger n'est pas un obstacle à la tenue de débats dans un délai raisonnable. Conformément à l' art. 87 al. 2 CPP , les parties et leur conseil qui ont leur domicile ou leur résidence habituelle à l'étranger sont tenus de désigner un domicile de notification en Suisse. Le mandat de comparution pourra dès lors lui être adressé à son domicile de notification en Suisse. La cour cantonale a ainsi violé l' art. 406 al. 1 let. a CPP et ne pouvait pas traiter l'appel du recourant en procédure écrite, sans son accord. La cause doit être renvoyée à la cour cantonale pour nouvelle instruction et nouvelle décision, étant précisé que des débats devront être tenus.</w:t>
      </w:r>
    </w:p>
    <w:p>
      <w:r>
        <w:rPr>
          <w:b/>
        </w:rPr>
        <w:t>E. 1.4</w:t>
      </w:r>
    </w:p>
    <w:p>
      <w:r>
        <w:t>Au vu du sort du recours, les autres griefs du recourant deviennent sans objet.</w:t>
      </w:r>
    </w:p>
    <w:p>
      <w:r>
        <w:rPr>
          <w:b/>
        </w:rPr>
        <w:t>E. 2</w:t>
      </w:r>
    </w:p>
    <w:p>
      <w:r>
        <w:t>Le recourant obtient gain de cause. Il ne supporte pas de frais (art. 65 al. 2 et 66 al. 1 LTF). Il peut prétendre à de pleins dépens ( art. 68 al. 1 LTF ). La requête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