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6B_419/2008 vom 2. Juli 2008</w:t>
      </w:r>
    </w:p>
    <w:p>
      <w:r>
        <w:t>Bundesgericht, 2008-07-02, DE</w:t>
      </w:r>
    </w:p>
    <w:p>
      <w:r>
        <w:rPr>
          <w:b/>
        </w:rPr>
        <w:t xml:space="preserve">Quelle: </w:t>
      </w:r>
      <w:r>
        <w:t>https://mcp.opencaselaw.ch/entscheid/bger_6B_419_2008</w:t>
      </w:r>
    </w:p>
    <w:p>
      <w:r>
        <w:t>FR: TF 6B_419/2008 du 2 juillet 2008</w:t>
      </w:r>
    </w:p>
    <w:p>
      <w:r>
        <w:t>IT: TF 6B_419/2008 del 2 luglio 2008</w:t>
      </w:r>
    </w:p>
    <w:p>
      <w:pPr>
        <w:pStyle w:val="Heading2"/>
      </w:pPr>
      <w:r>
        <w:t>Erwägungen</w:t>
      </w:r>
    </w:p>
    <w:p>
      <w:r>
        <w:rPr>
          <w:b/>
        </w:rPr>
        <w:t>E. 1</w:t>
      </w:r>
    </w:p>
    <w:p>
      <w:r>
        <w:t>Die Beschwerdeführerin rügt, dass ihr als einziger von einer Mehrzahl geschädigter Personen kein Anteil an beschlagnahmtem Geld zugewiesen wurde, weil die Vorinstanz den Tatbestand des Betruges unrichtig angewendet habe (Beschwerde S. 2). Sie wendet sich folglich dagegen, dass der Beschuldige in ihrem Fall vom Vorwurf des Betruges freigesprochen worden ist. Insoweit ist sie indessen als Geschädigte zur Beschwerde in Strafsachen nicht legitimiert ( BGE 133 IV 228 ). Auf die Beschwerde ist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