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6B_416/2021 vom 28. September 2021</w:t>
      </w:r>
    </w:p>
    <w:p>
      <w:r>
        <w:t>Bundesgericht, 2021-09-28, FR</w:t>
      </w:r>
    </w:p>
    <w:p>
      <w:r>
        <w:rPr>
          <w:b/>
        </w:rPr>
        <w:t xml:space="preserve">Quelle: </w:t>
      </w:r>
      <w:r>
        <w:t>https://mcp.opencaselaw.ch/entscheid/bger_6B_416_2021</w:t>
      </w:r>
    </w:p>
    <w:p>
      <w:r>
        <w:t>FR: TF 6B_416/2021 du 28 septembre 2021</w:t>
      </w:r>
    </w:p>
    <w:p>
      <w:r>
        <w:t>IT: TF 6B_416/2021 del 28 settembre 2021</w:t>
      </w:r>
    </w:p>
    <w:p>
      <w:pPr>
        <w:pStyle w:val="Heading2"/>
      </w:pPr>
      <w:r>
        <w:t>Erwägungen</w:t>
      </w:r>
    </w:p>
    <w:p>
      <w:r>
        <w:rPr>
          <w:b/>
        </w:rPr>
        <w:t>E. 1</w:t>
      </w:r>
    </w:p>
    <w:p>
      <w:r>
        <w:t>Le Tribunal fédéral examine d'office ( art. 29 al. 1 LTF ) et librement la recevabilité des recours qui lui sont soumis ( ATF 143 IV 357 consid.1).</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Lorsque la partie plaignante se plaint d'infractions distinctes, elle doit mentionner, par rapport à chacune d'elles, en quoi consiste son dommage (arrêts 6B_752/2020 du 8 juin 2021 consid. 1.1; 6B_199/2020 du 9 avril 2020 consid. 1.1 et les références citées).</w:t>
      </w:r>
    </w:p>
    <w:p>
      <w:r>
        <w:rPr>
          <w:b/>
        </w:rPr>
        <w:t>E. 2.2</w:t>
      </w:r>
    </w:p>
    <w:p>
      <w:r>
        <w:t>En l'espèce, le recourant dénonce des infractions distinctes commises par des personnes différentes. Certaines infractions visent la communauté héréditaire, d'autres la société immobilière. Dans la mesure où ces infractions sont dirigées contre la communauté héréditaire, seul l'ensemble des héritiers revêt la qualité pour recourir (arrêt 6B_824/2020 du 10 février 2021, consid. 1.2, publié in SJ 2021 I 293); le recourant qui n'allègue pas être le représentant de l'hoirie n'a donc pas la qualité pour recourir. Lorsque les infractions sont perpétrées au détriment du patrimoine d'une personne morale, seule celle-ci a la qualité pour recourir; en tant qu'actionnaire de la société immobilière M.________SA, le recourant n'est donc qu'un lésé indirect et n'a pas non plus la qualité pour recourir ( ATF 141 IV 380 consid. 2.3.3 p. 386; 140 IV 155 consid. 3.3.1 p. 158). Il ne mentionne pas quelles infractions le concernent directement et n'indique pas, pour celles-ci, en quoi consiste son dommage. A défaut de toute motivation sur les conclusions civiles qu'il entend faire valoir contre les personnes mises en cause, le recourant n'a pas la qualité pour recourir sur le fond de la cause, au regard de l'art. 81 al. 1 let. b ch. 5 LTF.</w:t>
      </w:r>
    </w:p>
    <w:p>
      <w:r>
        <w:rPr>
          <w:b/>
        </w:rPr>
        <w:t>E. 2.3</w:t>
      </w:r>
    </w:p>
    <w:p>
      <w:r>
        <w:t>L'hypothèse visée à l'art. 81 al. 1 let. b ch. 6 LTF n'entre pas en considération, le recourant ne soulevant aucun grief quant à son droit de porter plainte.</w:t>
      </w:r>
    </w:p>
    <w:p>
      <w:r>
        <w:rPr>
          <w:b/>
        </w:rPr>
        <w:t>E. 3.1</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 ATF 141 IV 1 consid. 1.1 p. 5). Il ne peut invoquer que la violation de règles de procédure destinées à sa protection. Par exemple, il peut faire valoir que son recours a été déclaré à tort irrecevable, qu'il n'a pas été entendu, qu'on ne lui a pas donné l'occasion de présenter ses moyens de preuve ou qu'il n'a pas pu prendre connaissance du dossier. Mais il ne saurait se plaindre ni de l'appréciation des preuves, ni du rejet de ses propositions si l'autorité retient que les preuves offertes sont impropres à ébranler sa conviction, car ces griefs sont indissociablement liés à l'examen du fond ( ATF 121 IV 317 consid. 3b p. 324; arrêt 6B_996/2020 du 2 février 2021 consid. 2.1).</w:t>
      </w:r>
    </w:p>
    <w:p>
      <w:r>
        <w:rPr>
          <w:b/>
        </w:rPr>
        <w:t>E. 3.2</w:t>
      </w:r>
    </w:p>
    <w:p>
      <w:r>
        <w:t>Le recourant soutient que les faits pertinents retenus par la cour cantonale sont manifestement incomplets, car celle-ci n'aurait pas tenu compte des huit plaintes pénales complémentaires qu'il avait déposées, lesquelles ne figureraient, au demeurant, pas au dossier. De la sorte, il critique l'établissement des faits, à savoir le fond du litige, ce qu'il n'est pas habilité à faire (cf. consid. 2.2). Pour le surplus, il n'établit pas que les plaintes complémentaires ont été jointes au dossier. Son grief tiré de la violation du droit d'être entendu (dossier incomplet) est dès lors insuffisamment motivé ( art. 106 al. 2 LTF ) et, partant, irrecevable.</w:t>
      </w:r>
    </w:p>
    <w:p>
      <w:r>
        <w:t>Le recourant fait valoir que les procès-verbaux des auditions des personnes qu'il a mises en cause dans ses plaintes ne se trouvent pas au dossier, de sorte que celui-ci serait incomplet. Le rapport de la police ne fait aucune référence à de telles auditions. Dans son recours, le recourant n'apporte aucun élément établissant que des auditions ont eu lieu. Son grief tiré de la violation du droit d'être entendu (dossier incomplet) est dès lors insuffisamment motivé ( art. 106 al. 2 LTF ) et, partant, irrecevable.</w:t>
      </w:r>
    </w:p>
    <w:p>
      <w:r>
        <w:t>Le recourant invoque la nullité absolue des sept procès-verbaux de procédure figurant au dossier, qui ne seraient pas signés. Les pièces auxquelles il se réfère (pièce n° 5 annexée à son recours) ne constituent toutefois pas des procès-verbaux devant être signés. Son grief est infondé.</w:t>
      </w:r>
    </w:p>
    <w:p>
      <w:r>
        <w:t>Le recourant soutient que trois plaintes (deux plaintes du 27 mai 2019 et une plainte du 22 juillet 2019) qui figurent au dossier ne font l'objet d'aucun procès-verbal de procédure justifiant leur classement. Par cette argumentation, il critique à nouveau l'appréciation des preuves, à savoir le fond du litige, ce qu'il n'est pas habilité à faire (consid. 2.2).</w:t>
      </w:r>
    </w:p>
    <w:p>
      <w:r>
        <w:t>Il relève que l'ordonnance de classement du 10 décembre 2020 n'est pas signée par la greffière titulaire, mais par une autre personne agissant sur ordre; l'ordonnance n'aurait en outre pas été notifiée à d'autres prévenus que B.________. Selon l' art. 80 al. 2 CPP , les prononcés sont signés par la direction de la procédure et par le préposé au procès-verbal. Signée par le premier procureur et par un remplaçant du greffier, l'ordonnance de classement n'est entachée d'aucune informalité (cf. arrêt 6B_1260/2016 du 7 août 2017 consid. 3.2 qui admet la validité d'une ordonnance pénale non signée devenue ensuite acte d'accusation après opposition). Pour le surplus, le recourant n'a pas la qualité pour se plaindre d'un éventuel défaut de notification à des tiers.</w:t>
      </w:r>
    </w:p>
    <w:p>
      <w:r>
        <w:t>Enfin, le recourant expose que I.________ était désigné à tort comme fonctionnaire de l'AFC, car il avait quitté cette administration à fin août 2019 à la suite des plaintes pénales pour des faits dont l'avait instigué B.________. Ce grief concerne à nouveau le fond du litige. Il est donc irrecevable.</w:t>
      </w:r>
    </w:p>
    <w:p>
      <w:r>
        <w:rPr>
          <w:b/>
        </w:rPr>
        <w:t>E. 4</w:t>
      </w:r>
    </w:p>
    <w:p>
      <w:r>
        <w:t>Le recours doit être rejeté dans la mesure où il est recevable.</w:t>
      </w:r>
    </w:p>
    <w:p>
      <w:r>
        <w:t>Le recourant qui succombe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