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6B_415/2015 vom 19. August 2015</w:t>
      </w:r>
    </w:p>
    <w:p>
      <w:r>
        <w:t>Bundesgericht, 2015-08-19, DE</w:t>
      </w:r>
    </w:p>
    <w:p>
      <w:r>
        <w:rPr>
          <w:b/>
        </w:rPr>
        <w:t xml:space="preserve">Quelle: </w:t>
      </w:r>
      <w:r>
        <w:t>https://mcp.opencaselaw.ch/entscheid/bger_6B_415_2015</w:t>
      </w:r>
    </w:p>
    <w:p>
      <w:r>
        <w:t>FR: TF 6B_415/2015 du 19 août 2015</w:t>
      </w:r>
    </w:p>
    <w:p>
      <w:r>
        <w:t>IT: TF 6B_415/2015 del 19 agosto 2015</w:t>
      </w:r>
    </w:p>
    <w:p>
      <w:pPr>
        <w:pStyle w:val="Heading2"/>
      </w:pPr>
      <w:r>
        <w:t>Erwägungen</w:t>
      </w:r>
    </w:p>
    <w:p>
      <w:r>
        <w:rPr>
          <w:b/>
        </w:rPr>
        <w:t>E. 1.1</w:t>
      </w:r>
    </w:p>
    <w:p>
      <w:r>
        <w:t>Der Beschwerdeführer rügt der Sache nach Willkür, setzt sich aber mit dem Urteil nicht den bundesrechtlichen Begründungsanforderungen entsprechend auseinander (Art. 42 Abs. 2 i.V.m. Art. 106 Abs. 2 BGG ; vgl. Urteil 4A_336/2014 vom 18. Dezember 2014 E. 2.1 mit zahlreichen Hinweisen). Das Bundesgericht ist unter Vorbehalt von Art. 97 Abs. 1 BGG an den vorinstanzlich festgestellten Sachverhalt gebunden ( Art. 105 Abs. 1 BGG ). Für die Anfechtung des Sachverhalts gilt das strenge Rügeprinzip. Auf rein appellatorische Kritik tritt das Bundesgericht nicht ein ( BGE 140 III 264 E. 2.3).</w:t>
      </w:r>
    </w:p>
    <w:p>
      <w:r>
        <w:rPr>
          <w:b/>
        </w:rPr>
        <w:t>E. 1.2</w:t>
      </w:r>
    </w:p>
    <w:p>
      <w:r>
        <w:t>Art. 91a Abs. 1 SVG knüpft an Verhaltenspflichten bei einem Unfall (Urteil 6B_927/2014 vom 16. Januar 2015 E. 2.1). Anwendbar ist Art. 51 Abs. 1 SVG i.V.m. Art. 56 Abs. 2 VRV . Der Beschwerdeführer hätte bei dem von ihm durch fehlende gütliche Einigung und Entfernung vom Unfallort provozierten Beizug der Polizei (bezirksgerichtliches Urteil S. 7) mitwirken müssen, bis er von der Polizei entlassen wird ( BGE 131 IV 36 E. 3.4.1; Urteile 6B_17/2012 vom 30. April 2012 E. 3.3 und 6B_168/2009 vom 19. Mai 2009 E. 1.2). Ob der Pflichtige aufgrund der Umstände mit hoher Wahrscheinlichkeit mit einer Massnahme rechnen musste, ist Rechtsfrage. Die Beschwerde stellt die festgestellten Umstände und damit die Beweiswürdigung in Frage.</w:t>
      </w:r>
    </w:p>
    <w:p>
      <w:r>
        <w:t>Nach der Vorinstanz machte die vom Beschwerdeführer eingeräumte Tatsache der zweifachen Kollision abgesehen von den Zweifeln des Geschädigten und der Auskunftspersonen eine Massnahme mehr als wahrscheinlich. Er habe mit einer Alkoholkontrolle rechnen müssen und eine Vereitelung zumindest in Kauf genommen.</w:t>
      </w:r>
    </w:p>
    <w:p>
      <w:r>
        <w:t>Der Beschwerdeführer wendet ein, nicht geschulte Personen könnten dies nicht beurteilen. Die Vorinstanz berücksichtige weder den Zeitpunkt des Vorfalls, nämlich den frühen Nachmittag, noch dass es sich um einen Bagatellunfall handelte und er keinen Alkohol getrunken hatte. Die Umstände sprächen dagegen, dass die (vom Geschädigten beigezogene) Polizei eine Alkoholkontrolle angeordnet hätte.</w:t>
      </w:r>
    </w:p>
    <w:p>
      <w:r>
        <w:t>Es mag zutreffen, dass auch bei verkehrswidrigem Verhalten nicht automatisch eine Alkoholkontrolle erfolgt (Urteil 6B_190/2013 vom 13. Juni 2013 E. 1.4). Der Fahrzeugführer kann gemäss Art. 55 Abs. 1 SVG kontrolliert werden (Urteil 6B_796/2014 vom 13. November 2014 E. 1.4). Auch der völlig Nüchterne muss damit rechnen ( BGE 105 IV 64 E. 2). Das kann sich insbesondere bei Abwesenheit von Fahrzeugführern nicht zuzurechnenden Umständen und einer Kumulation von Fahrfehlern aufdrängen (Urteil 6B_927/2014 vom 16. Januar 2015 E. 2.1). Ersteres macht der Beschwerdeführer nicht geltend, und von Letzterem ist auszugehen: Der Beschwerdeführer fuhr zweimal hintereinander in das Heck des voranfahrenden Fahrzeugs und beschädigte dieses (bezirksgerichtliches Urteil S. 5 und 7). Die Einwände des Beschwerdeführers sind appellatorisch.</w:t>
      </w:r>
    </w:p>
    <w:p>
      <w:r>
        <w:rPr>
          <w:b/>
        </w:rPr>
        <w:t>E. 1.3</w:t>
      </w:r>
    </w:p>
    <w:p>
      <w:r>
        <w:t>Unter dem Titel von Art. 92 Abs. 1 SVG bringt der Beschwerdeführer vor, er habe mit dem Geschädigten das Unfallprotokoll ausfüllen wollen, wozu es aber nicht gekommen sei. Folglich habe er sich weder direkt noch eventualvorsätzlich einer Alkoholkontrolle entzogen. Die Angabe des Nachnamens und der Natelnummer genüge, um eine Person zu identifizieren. Der Geschädigte habe die Fahrzeugnummer gekannt und keinerlei Nachforschungen anstellen müssen. Dass er sich korrekt verhalten habe, zeige sich darin, dass er sich am Tag nach dem Unfall bei der Polizei gemeldet habe.</w:t>
      </w:r>
    </w:p>
    <w:p>
      <w:r>
        <w:t>Der Beschwerdeführer übergeht die wesentlichen Feststellungen der Vorinstanz. Nach diesen hätte er sich vor Ort vergewissern müssen, dass der Geschädigte über seinen Namen und seine Adresse verfügte (er gab den (vollen) Namen und die Adresse nicht an, bezirksgerichtliches Urteil S. 5). Er habe zugegeben, dass der Geschädigte die Bekanntgabe der Telefonnummer vielleicht gar nicht wahrgenommen hatte. Seine Ausführung, er habe sich von hinzukommenden Personen bedroht gefühlt und sich deswegen von der Unfallstelle entfernt, zeige, dass er sich mit dem Geschädigten noch nicht verständigt hatte. Die geltend gemachte Bedrohung sei als Schutzbehauptung zu werten (mit Verweisung auf das bezirksgerichtliche Urteil S. 6).</w:t>
      </w:r>
    </w:p>
    <w:p>
      <w:r>
        <w:t>Es fehlt mithin an einer Feststellung, dass der Geschädigte Namen und Adresse kannte oder die Fahrzeugnummer aufgeschrieben hätte. Eine willkürliche Würdigung zeigt der Beschwerdeführer nicht auf (oben E. 1.1). Es lässt sich daher auch nicht annehmen, dass der Beschwerdeführer dem Geschädigten sofort ("aussi rapidement que les circonstances le permettent") Namen und Adresse angab (vgl. Urteil 6B_1027/2013 vom 14. April 2014 E. 3.3.1 zu Art. 51 Abs. 3 SVG ).</w:t>
      </w:r>
    </w:p>
    <w:p>
      <w:r>
        <w:t>Obwohl nicht gerügt, kann angemerkt werden, dass Art. 51 Abs. 3 SVG nicht unmittelbar anwendbar ist (oben E. 1.2, erster Absatz). Die Pflicht unfallbeteiligter Fahrzeugführer zur sofortigen Angabe von Namen und Adresse lässt sich aus Art. 51 Abs. 1 SVG erschliessen. Die Vorinstanz stützt sich dazu auf LEA UNSELD, in: Basler Kommentar, Strassenverkehrsgesetz, 2014, Rz. 82 zu Art. 51 SVG .</w:t>
      </w:r>
    </w:p>
    <w:p>
      <w:r>
        <w:rPr>
          <w:b/>
        </w:rPr>
        <w:t>E. 2</w:t>
      </w:r>
    </w:p>
    <w:p>
      <w:r>
        <w:t>Die Beschwerdeführung erweist sich als appellatorisch. Entsprechend ist auf die Anträge 1 und 3 sowie die nicht weiter begründeten Anträge 2, 4, 5, 6 und 8 nach dem Ausgang des Verfahrens sowie auf Antrag 7 angesichts des Unterliegens und mangels Anspruchs des Wahlverteidigers im Sinne von Art. 68 BGG nicht einzutreten.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