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414/2014 vom 25. September 2014</w:t>
      </w:r>
    </w:p>
    <w:p>
      <w:r>
        <w:t>Bundesgericht, 2014-09-25, FR</w:t>
      </w:r>
    </w:p>
    <w:p>
      <w:r>
        <w:rPr>
          <w:b/>
        </w:rPr>
        <w:t xml:space="preserve">Quelle: </w:t>
      </w:r>
      <w:r>
        <w:t>https://mcp.opencaselaw.ch/entscheid/bger_6B_414_2014</w:t>
      </w:r>
    </w:p>
    <w:p>
      <w:r>
        <w:t>FR: TF 6B 414/2014 du 25 septembre 2014</w:t>
      </w:r>
    </w:p>
    <w:p>
      <w:r>
        <w:t>IT: TF 6B 414/2014 del 25 settembre 2014</w:t>
      </w:r>
    </w:p>
    <w:p>
      <w:pPr>
        <w:pStyle w:val="Heading2"/>
      </w:pPr>
      <w:r>
        <w:t>Regeste</w:t>
      </w:r>
    </w:p>
    <w:p>
      <w:r>
        <w:t>Révision (art. 410 CPP) | Procédure pénale</w:t>
      </w:r>
    </w:p>
    <w:p>
      <w:pPr>
        <w:pStyle w:val="Heading2"/>
      </w:pPr>
      <w:r>
        <w:t>Erwägungen</w:t>
      </w:r>
    </w:p>
    <w:p>
      <w:r>
        <w:rPr>
          <w:b/>
        </w:rPr>
        <w:t>E. 1</w:t>
      </w:r>
    </w:p>
    <w:p>
      <w:r>
        <w:t>Le recourant dénonce une violation de l' art. 410 CPP et une appréciation arbitraire des faits.</w:t>
      </w:r>
    </w:p>
    <w:p>
      <w:r>
        <w:rPr>
          <w:b/>
        </w:rPr>
        <w:t>E. 1.1</w:t>
      </w:r>
    </w:p>
    <w:p>
      <w:r>
        <w:t>La demande de révision et la décision attaquée sont postérieures à l'entrée en vigueur, le 1er janvier 2011, du code de procédure pénale suisse. Il s'ensuit que les règles de compétence et de procédure des art. 410 ss CPP s'appliquent. Les motifs de révision pertinents sont en revanche ceux prévus par le droit applicable au moment où la décision dont la révision est demandée a été rendue, soit, en l'espèce, le 22 décembre 2008. Cette réserve est toutefois sans portée en l'espèce s'agissant d'une révision en faveur du condamné, le motif de révision prévu à l' art. 410 al. 1 let. a CPP correspondant à celui de l'art. 397 aCP, respectivement de l' art. 385 CP , qui n'a d'ailleurs formellement pas été abrogé (cf. arrêt 6B_393/2012 du 12 novembre 2012 consid. 1.1.1). Pour le surplus, le recourant n'invoque aucune disposition cantonale qui aurait été applicable en 2008 et qui lui serait plus favorable que le droit fédéral.</w:t>
      </w:r>
    </w:p>
    <w:p>
      <w:r>
        <w:rPr>
          <w:b/>
        </w:rPr>
        <w:t>E. 1.2</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 La demande en révision en raison de faits ou de moyens de preuve nouveaux n'est soumise à aucun délai (art. 411 al. 2 in fine CPP). La procédure du rescindant instituée par le CPP se déroule, en principe, en deux phases comprenant un examen préalable de la recevabilité ( art. 412 al. 1 et 2 CPP ) puis celui des motifs invoqués (art. 412 al. 3 et 4 et art. 413 CPP ). Il s'agit de deux étapes d'une seule et même procédure de la compétence de la juridiction d'appel ( art. 412 al. 1 et 3 CPP ).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6B_415/2012 du 14 décembre 2012 consid. 1.1).</w:t>
      </w:r>
    </w:p>
    <w:p>
      <w:r>
        <w:rPr>
          <w:b/>
        </w:rPr>
        <w:t>E. 1.3</w:t>
      </w:r>
    </w:p>
    <w:p>
      <w:r>
        <w:t>La cour d'appel a retenu à raison que les faits invoqués par le recourant à l'appui de sa demande de révision étaient parfaitement connus des premiers juges, et partant, ne pouvaient être qualifiés de nouveaux. Il ressort sans conteste de la décision attaquée que le recourant a soulevé le moyen tiré du défaut d'indépendance de l'expert pour avoir été son médecin-traitant dans le cadre de la procédure ayant abouti au prononcé de la mesure institutionnelle par jugement du 22 décembre 2008 et qu'il fait valoir ce même motif dans la procédure de révision. Sa requête avait été rejetée par le juge d'instruction de l'époque sans qu'il ne conteste plus avant cette décision. Il n'avance rien de plus à l'appui de sa demande de révision et ne prétend pas que l'expert, hormis le fait d'avoir été son médecin-traitant par le passé, présente d'autres motifs nouveaux et donc ignorés au moment du jugement du 22 décembre 2008, susceptibles de fonder sa récusation. La simple affirmation selon laquelle le juge d'instruction de l'époque n'avait pas eu conscience du rôle exact joué par le Dr A.________ est trop vague pour établir l'existence d'autres motifs de récusation à l'encontre de l'expert. Par ailleurs, il n'y a pas lieu de retenir les faits invoqués dans le recours qui ne ressortent pas du jugement entrepris ( art. 99 al. 1 LTF ), faute pour le recourant d'établir que leur omission l'a été arbitrairement ( art. 106 al. 2 LTF ). Il en va ainsi par exemple quand le recourant oppose que le nombre d'entretiens qu'il a eus avec le Dr A.________ est plus élevé que celui retenu par l'autorité cantonale ou qu'elle a méconnu que son propre médecin, le Dr B.________ avait eu moins d'entretiens avec lui que l'expert à l'époque ou encore qu'il n'était pas capable, vu son état, de communiquer des renseignements exacts à son avocat. Au demeurant, même établis, ces éléments ne permettent pas de considérer que le moyen tiré du défaut d'indépendance de l'expert est un moyen nouveau. Il en va de même de la constatation erronée de la cour d'appel selon laquelle le recourant a lui-même demandé que le Dr A.________ soit désigné comme expert à l'époque de son jugement. En définitive, le recourant n'avance aucun élément susceptible de retenir que l'autorité cantonale a violé le droit fédéral en considérant que le moyen de révision invoqué n'est pas nouveau. Le recours doit être rejeté dans la mesure de sa recevabilité.</w:t>
      </w:r>
    </w:p>
    <w:p>
      <w:r>
        <w:rPr>
          <w:b/>
        </w:rPr>
        <w:t>E. 1.4</w:t>
      </w:r>
    </w:p>
    <w:p>
      <w:r>
        <w:t>Les conclusions du recourant étaient dépourvues de chances de succès, de sorte que l'assistance judiciaire doit être refusée ( art. 64 al. 1 LTF ). Il supporte les frais judiciaires, qui seront fixés en tenant compte de sa situation économique peu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