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413/2020 vom 13. Juli 2020</w:t>
      </w:r>
    </w:p>
    <w:p>
      <w:r>
        <w:t>Bundesgericht, 2020-07-13, DE</w:t>
      </w:r>
    </w:p>
    <w:p>
      <w:r>
        <w:rPr>
          <w:b/>
        </w:rPr>
        <w:t xml:space="preserve">Quelle: </w:t>
      </w:r>
      <w:r>
        <w:t>https://mcp.opencaselaw.ch/entscheid/bger_6B_413_2020</w:t>
      </w:r>
    </w:p>
    <w:p>
      <w:r>
        <w:t>FR: TF 6B 413/2020 du 13 juillet 2020</w:t>
      </w:r>
    </w:p>
    <w:p>
      <w:r>
        <w:t>IT: TF 6B 413/2020 del 13 luglio 2020</w:t>
      </w:r>
    </w:p>
    <w:p>
      <w:pPr>
        <w:pStyle w:val="Heading2"/>
      </w:pPr>
      <w:r>
        <w:t>Regeste</w:t>
      </w:r>
    </w:p>
    <w:p>
      <w:r>
        <w:t>Besuchs- und Kontaktregelung; Nichteintreten | Strafprozess</w:t>
      </w:r>
    </w:p>
    <w:p>
      <w:pPr>
        <w:pStyle w:val="Heading2"/>
      </w:pPr>
      <w:r>
        <w:t>Erwägungen</w:t>
      </w:r>
    </w:p>
    <w:p>
      <w:r>
        <w:rPr>
          <w:b/>
        </w:rPr>
        <w:t>E. 1</w:t>
      </w:r>
    </w:p>
    <w:p>
      <w:r>
        <w:t>A.A.________,</w:t>
      </w:r>
    </w:p>
    <w:p>
      <w:r>
        <w:rPr>
          <w:b/>
        </w:rPr>
        <w:t>E. 2</w:t>
      </w:r>
    </w:p>
    <w:p>
      <w:r>
        <w:t>Anfechtungsobjekt ist alleine die Erledigungserklärung der Vorinstanz zufolge fehlenden Rechtsschutzinteresses ( Art. 80 Abs. 1 BGG ). Nur diese Frage kann Gegenstand der Beschwerde sein. Soweit sich die Beschwerdeführer nicht damit befassen, sind sie mit ihren Ausführungen, Vorbringen und Rügen von vornherein nicht zu hören.</w:t>
      </w:r>
    </w:p>
    <w:p>
      <w:r>
        <w:rPr>
          <w:b/>
        </w:rPr>
        <w:t>E. 3</w:t>
      </w:r>
    </w:p>
    <w:p>
      <w:r>
        <w:t>Gemäss Art. 42 Abs. 2 BGG ist in der Beschwerdebegründung in gedrängter Form darzulegen, inwiefern der angefochtene Entscheid Recht verletzt, wobei für die Rüge der Verletzung von Grundrechten und die Anfechtung des Sachverhalts qualifizierte Begründungsanforderungen gelten (vgl. Art. 97 Abs. 1 und Art. 106 Abs. 2 BGG ). Die beschwerdeführende Partei hat mit ihrer Kritik an den als rechtsfehlerhaft erachteten Erwägungen der Vorinstanz anzusetzen ( BGE 140 III 115 E. 2).</w:t>
      </w:r>
    </w:p>
    <w:p>
      <w:r>
        <w:rPr>
          <w:b/>
        </w:rPr>
        <w:t>E. 4</w:t>
      </w:r>
    </w:p>
    <w:p>
      <w:r>
        <w:t>Die Vorinstanz erwägt, das Kantonsgericht Luzern habe mit Urteil vom 23. Dezember 2019 die stationäre Massnahme gemäss Art. 59 StGB aufgehoben und die VBD angewiesen, den Beschwerdeführer auf den 4. März 2020 zuhanden der zuständigen zivilrechtlichen Behörden zu entlassen. Am 6. März 2020 habe die VBD die Aufhebung der Massnahme per 4. März 2020 mitgeteilt. Mit der definitiven Entlassung des Beschwerdeführers aus dem stationären Massnahmenvollzug bestehe kein rechtserhebliches Interesse mehr daran, über die Begründetheit der angefochtenen Kontakt- und Besuchsregelung zu befinden, zumal sich der Beschwerdeführer nicht mehr im Vollzugsregime der VBD befinde. Die Sache sei daher gemäss § 109 des luzernischen Gesetzes über die Verwaltungsrechtspflege (VRG/LU) als erledigt zu erklären.</w:t>
      </w:r>
    </w:p>
    <w:p>
      <w:r>
        <w:rPr>
          <w:b/>
        </w:rPr>
        <w:t>E. 5</w:t>
      </w:r>
    </w:p>
    <w:p>
      <w:r>
        <w:t>Die vorinstanzliche Erledigungserklärung stützt sich auf § 109 VRG/LU und damit auf kantonales Verfahrensrecht. Das Bundesgericht prüft kantonales Verfahrensrecht grundsätzlich nur unter dem Blickwinkel des Willkürverbots. Inwiefern die Vorinstanz mit ihrer Erledigungserklärung bzw. bei der Anwendung des einschlägigen kantonalen Verfahrensrechts schweizerisches Recht im Sinne von Art. 95 BGG verletzt haben könnte, ergibt sich aus der Beschwerde nicht in einer den gesetzlichen Begründungsanforderungen genügenden Weise. Eine substanziierte Auseinandersetzung mit den vorinstanzlichen Erwägungen fehlt. Stattdessen machen die Beschwerdeführer im Wesentlichen geltend, dass die angefochtene Kontakt- und Besuchsregelung "zivilrechtlich" weitergeführt werde, und mutmassen, dass das Risiko einer erneuten Verurteilung und Inhaftierung bestehe, eine abermalige Anordnung einer strafrechtlichen Massnahme aufgrund möglicher "Ausraster" des Beschwerdeführers nicht auszuschliessen sei und allfällige Notsituationen (z.B. Suizidgedanken) infolge des eingeschränkten Kontakts nicht genügend schnell gemeldet werden könnten. Damit vermögen sie jedoch nicht aufzuzeigen, dass und inwiefern die Vorinstanz ein rechtserhebliches Interesse an einer gerichtlichen Beurteilung der angefochtenen Kontakt- und Besuchsregelung auf ihre Begründetheit hin willkürlich oder sonstwie bundesrechtswidrig verneint haben könnte. Inwiefern eine Verletzung des rechtlichen Gehörs vorliegen könnte, ist gestützt auf die Vorbringen der Beschwerdeführer ebenfalls nicht ersichtlich. Mit blossen Behauptungen und Mutmassungen lassen sich weder Willkür noch Verfassungs- oder Konventionsverletzungen begründen. Die Beschwerde enthält offensichtlich keine hinreichende Begründung ( Art. 42 Abs. 2 BGG , Art. 106 Abs. 2 BGG ), weshalb darauf im Verfahren nach Art. 108 BGG nicht einzutreten ist.</w:t>
      </w:r>
    </w:p>
    <w:p>
      <w:r>
        <w:rPr>
          <w:b/>
        </w:rPr>
        <w:t>E. 6</w:t>
      </w:r>
    </w:p>
    <w:p>
      <w:r>
        <w:t>Die Umstände rechtfertigen es, auf die Erhebung von Gerichtskosten zu verzichten (Art. 66 Abs. 1 zweiter Satz BGG). Das Gesuch um unentgeltliche Rechtspflege im Sinne von Art. 64 Abs. 1 BGG wird hiermit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