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6B_413/2017 vom 2. Oktober 2017</w:t>
      </w:r>
    </w:p>
    <w:p>
      <w:r>
        <w:t>Bundesgericht, 2017-10-02, FR</w:t>
      </w:r>
    </w:p>
    <w:p>
      <w:r>
        <w:rPr>
          <w:b/>
        </w:rPr>
        <w:t xml:space="preserve">Quelle: </w:t>
      </w:r>
      <w:r>
        <w:t>https://mcp.opencaselaw.ch/entscheid/bger_6B_413_2017</w:t>
      </w:r>
    </w:p>
    <w:p>
      <w:r>
        <w:t>FR: TF 6B_413/2017 du 2 octobre 2017</w:t>
      </w:r>
    </w:p>
    <w:p>
      <w:r>
        <w:t>IT: TF 6B_413/2017 del 2 ottobre 2017</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Ensuite du recours formé par X.________, par acte du 28 mars 2017, contre un arrêt de la Chambre pénale du Tribunal cantonal fribourgeois, du 20 mars 2017, l'intéressé n'a pas effectué l'avance de frais de 800 fr. demandée par ordonnance du 15 mai 2017. Par ordonnance du 5 septembre 2017, l'assistance judiciaire lui a été refusée. Un délai supplémentaire échéant le 18 septembre 2017 lui a été imparti par ordonnance du 7 septembre 2017 pour s'acquitter de cette avance de frais, avec l'indication des conséquences légales d'un non-paiement de ce montant dans le délai fixé ( art. 62 al. 3 LTF ). Le pli recommandé contenant cette ordonnance a été retiré le 11 septembre 2017 mais aucun paiement n'est intervenu à l'échéance du 18 septembre 2017. Il s'ensuit que les frais de la cause n'ont pas été avancés et que X.________ n'est pas au bénéfice de l'assistance judiciaire, ce qui entraîne l'irrecevabilité du recours, lequel doit être liquidé dans la procédure prévue par l' art. 108 al. 1 let. a LTF .</w:t>
      </w:r>
    </w:p>
    <w:p>
      <w:r>
        <w:rPr>
          <w:b/>
        </w:rPr>
        <w:t>E. 2</w:t>
      </w:r>
    </w:p>
    <w:p>
      <w:r>
        <w:t>X.________ succombe. Interpellé par courrier recommandé du 14 juin 2017, le curateur de l'intéressé n'a fourni aucune indication suggérant qu'il ne serait pas en mesure d'agir valablement devant les tribunaux soit de s'engager financièrement. Il n'y a donc aucune raison de déroger à la répartition usuelle des frais de procédure, qui seront mis à la charge de X.________ et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