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6B_410/2009 vom 17. September 2009</w:t>
      </w:r>
    </w:p>
    <w:p>
      <w:r>
        <w:t>Bundesgericht, 2009-09-17, IT</w:t>
      </w:r>
    </w:p>
    <w:p>
      <w:r>
        <w:rPr>
          <w:b/>
        </w:rPr>
        <w:t xml:space="preserve">Quelle: </w:t>
      </w:r>
      <w:r>
        <w:t>https://mcp.opencaselaw.ch/entscheid/bger_6B_410_2009</w:t>
      </w:r>
    </w:p>
    <w:p>
      <w:r>
        <w:t>FR: TF 6B_410/2009 du 17 septembre 2009</w:t>
      </w:r>
    </w:p>
    <w:p>
      <w:r>
        <w:t>IT: TF 6B_410/2009 del 17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divenuto privo di oggetto e la causa 6B_410/2009 è stralciata dai ruoli.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Lo Stato del Cantone Ticino rifonderà alla ricorrente un'indennità di fr. 2'000.-- a titolo di ripetibili della sede federale.</w:t>
      </w:r>
    </w:p>
    <w:p>
      <w:r>
        <w:rPr>
          <w:b/>
        </w:rPr>
        <w:t>E. 4</w:t>
      </w:r>
    </w:p>
    <w:p>
      <w:r>
        <w:t>Comunicazione alle parti, rispettivamente ai loro patrocinatori, al Ministero pubblico, alla Camera dei ricorsi penali del Tribunale d'appello del Cantone Ticino e, per conoscenza, al Giudice dell'istruzione e dell'arresto.</w:t>
      </w:r>
    </w:p>
    <w:p>
      <w:r>
        <w:t>Losanna, 17 settembre 2009</w:t>
      </w:r>
    </w:p>
    <w:p>
      <w:r>
        <w:t>In nome della Corte di diritto penale</w:t>
      </w:r>
    </w:p>
    <w:p>
      <w:r>
        <w:t>del Tribunale federale svizzero</w:t>
      </w:r>
    </w:p>
    <w:p>
      <w:r>
        <w:t>Il Giudice dell'istruzione: Il Cancelliere:</w:t>
      </w:r>
    </w:p>
    <w:p>
      <w:r>
        <w:t>Eusebio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