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40/2023 vom 8. Januar 2024</w:t>
      </w:r>
    </w:p>
    <w:p>
      <w:r>
        <w:t>Bundesgericht, 2024-01-08, FR</w:t>
      </w:r>
    </w:p>
    <w:p>
      <w:r>
        <w:rPr>
          <w:b/>
        </w:rPr>
        <w:t xml:space="preserve">Quelle: </w:t>
      </w:r>
      <w:r>
        <w:t>https://mcp.opencaselaw.ch/entscheid/bger_6B_40_2023</w:t>
      </w:r>
    </w:p>
    <w:p>
      <w:r>
        <w:t>FR: TF 6B 40/2023 du 8 janvier 2024</w:t>
      </w:r>
    </w:p>
    <w:p>
      <w:r>
        <w:t>IT: TF 6B 40/2023 del 8 gennaio 2024</w:t>
      </w:r>
    </w:p>
    <w:p>
      <w:pPr>
        <w:pStyle w:val="Heading2"/>
      </w:pPr>
      <w:r>
        <w:t>Regeste</w:t>
      </w:r>
    </w:p>
    <w:p>
      <w:r>
        <w:t>Principe de l'unité de la procédure (art. 29 et 30 CPP); Droit d'être entendu (motivation) | Infractions</w:t>
      </w:r>
    </w:p>
    <w:p>
      <w:pPr>
        <w:pStyle w:val="Heading2"/>
      </w:pPr>
      <w:r>
        <w:t>Erwägungen</w:t>
      </w:r>
    </w:p>
    <w:p>
      <w:r>
        <w:rPr>
          <w:b/>
        </w:rPr>
        <w:t>E. 1</w:t>
      </w:r>
    </w:p>
    <w:p>
      <w:r>
        <w:t>Invoquant une violation du principe de l'unité de la procédure et une violation de la présomption d'innocence, le recourant reproche aux autorités précédentes de ne pas avoir joint l'ensemble des causes résultant de la manifestation du 20 septembre 2019.</w:t>
      </w:r>
    </w:p>
    <w:p>
      <w:r>
        <w:rPr>
          <w:b/>
        </w:rPr>
        <w:t>E. 1.1</w:t>
      </w:r>
    </w:p>
    <w:p>
      <w:r>
        <w:t>Selon l' art. 29 al. 1 CPP , les infractions sont poursuivies et jugées conjointement lorsqu'un prévenu a commis plusieurs infractions (let. a) ou lorsqu'il y a plusieurs coauteurs ou participation (let. b). Cette disposition consacre le principe de l'unité de la procédure pénale. Ce principe tend à éviter les jugements contradictoires, que cela soit au niveau de la constatation de l'état de fait, de l'appréciation juridique ou de la fixation de la peine. Il garantit également le respect du principe de l'égalité de traitement ( art. 8 Cst. et 3 al. 2 let. c CPP) et sert l'économie de la procédure ( ATF 138 IV 214 consid. 3.2; 138 IV 29 consid. 3.2; arrêts 6B_655/2022 du 31 août 2022 consid. 1.1; 1B_121/2021 du 10 novembre 2021 consid. 4.1). Le Tribunal fédéral a relevé le caractère problématique, du point de vue du droit à un procès équitable garanti aux art. 29 al. 1 Cst. et 6 par. 1 CEDH, de la conduite de procédures séparées ou de la disjonction de causes en cas d'infractions commises par plusieurs auteurs ou participants, eu égard au risque de voir l'un des intéressés rejeter la faute sur les autres ( ATF 134 IV 328 consid. 3.3; 116 Ia 305 consid. 4b; arrêt 1B_116/2020 du 20 mai 2020 consid. 1.2). Si des raisons objectives le justifient, le ministère public et les tribunaux peuvent ordonner la jonction ou la disjonction de procédures pénales ( art. 30 CPP ). La disjonction de procédures doit rester l'exception ( ATF 144 IV 97 consid. 3.3; 138 IV 214 consid. 3.2). Elle doit avant tout servir à garantir la rapidité de la procédure et à éviter un retard inutile ( ATF 138 IV 214 consid. 3.2; arrêts 6B_655/2022 précité consid. 1.1; 1B_121/2021 précité consid. 4.1). Constituent notamment des motifs objectifs justifiant la disjonction de causes un nombre élevé de co-prévenus rendant la conduite d'une procédure unique trop difficile, une incapacité de comparaître de longue durée d'un des co-prévenus, ou l'imminence de la prescription ( ATF 138 IV 214 consid. 3.2; arrêts 6B_655/2022 précité consid. 1.1; 6B_23/2021 du 20 juillet 2021 consid. 3.3; STEPHAN SCHLEGEL, in DONATSCH/ LIEBER/SUMMERS/WOHLERS [édit.], SK-Kommentar zur Schweizerischen Strafprozessordnung [StPO], 3e éd. 2020, vol. I, n° 4 ad art. 30 CPP ; DAVID BOUVERAT, in Commentaire romand, Code de procédure pénale suisse, 2e éd. 2019, n° 4 ad art. 30 CPP ). En revanche, la mise en oeuvre d'une procédure simplifiée à l'égard d'un des co-prévenus (arrêt 1B_506/2020 du 5 octobre 2020 consid. 2) ou des raisons d'organisation des autorités de poursuite pénale - notamment quant à une compétence spéciale - ne constituent en soi pas des motifs de disjonction ( ATF 138 IV 214 consid. 3.2; arrêt 6B_23/2021 précité consid. 3.3 et les références).</w:t>
      </w:r>
    </w:p>
    <w:p>
      <w:r>
        <w:rPr>
          <w:b/>
        </w:rPr>
        <w:t>E. 1.2</w:t>
      </w:r>
    </w:p>
    <w:p>
      <w:r>
        <w:t>Après un rappel des dispositions légales applicables et de la jurisprudence pertinente, la cour cantonale a jugé que la requête tendant à réunir les causes d'une centaine de manifestants - respectivement de 350 d'entre eux, dans le cas où la demande de jonction ne concernait pas seulement la manifestation du 20 septembre 2019 mais toutes les manifestations climatiques intervenues entre 2019 et 2020 sur sol vaudois - en une procédure unique était incompatible avec le principe de célérité. Elle a ajouté que la conduite séparée des procédures en l'espèce n'était pas de nature à violer les art. 29 al. 1 Cst. et 6 CEDH, dans la mesure où les différents prévenus ne s'accusaient pas mutuellement, mais reconnaissaient leur participation aux faits en question, ceux-ci n'étant pas litigieux dans le cas particulier.</w:t>
      </w:r>
    </w:p>
    <w:p>
      <w:r>
        <w:rPr>
          <w:b/>
        </w:rPr>
        <w:t>E. 1.3</w:t>
      </w:r>
    </w:p>
    <w:p>
      <w:r>
        <w:t>Si l'on ne saurait se rallier à l'intégralité des considérations cantonales, en particulier en ce qui concerne les faits prétendument non litigieux (cf. contra jugement attaqué consid. 5), il convient néanmoins de constater que la solution retenue est justifiée dans le cas d'espèce. Ne serait-ce qu'au regard du nombre élevé de co-prévenus, la conduite d'une procédure unique apparaît trop difficile, ce qui constitue à lui seul un motif objectif justifiant la disjonction de causes, en particulier lorsque, comme c'est le cas en l'espèce, à tout le moins une centaine de personnes sont concernées (arrêts 6B_655/2022 précité consid. 1.2; 6B_1436/2022 du 19 octobre 2023 consid. 3.3). Il convient de garder à l'esprit le caractère tout à fait exceptionnel de l'ampleur des répercussions pénales de la manifestation précitée au moment d'examiner le respect des art. 29 et 30 CPP . En cela déjà, les autorités précédentes étaient légitimées à refuser la requête du recourant. Les autres griefs soulevés par le recourant ne sauraient invalider ce qui précède. Tout d'abord, il ne conteste pas ne pas se trouver dans une situation dans laquelle il risque de voir l'un des autres prévenus rejeter la faute sur lui, ce à juste titre, puisqu'il ne s'agit pas de déterminer quelle part tel ou tel manifestant aurait prise dans la commission d'une infraction dont le déroulement aurait été contesté, mais de déterminer si chacun, pris individuellement, a réalisé les éléments constitutifs de telle ou telle infraction (en ce sens, v. l'arrêt 7B_209/2023 du 7 novembre 2023 consid. 5.6). On ne décèle dès lors pas que la jonction des causes aurait été nécessaire pour garantir le respect du droit à un procès équitable. Pour les mêmes raisons, le seul fait de faire référence à une même manifestation ne permet pas de retenir qu'un verdict de culpabilité prononcé à l'encontre de l'un ou de l'autre des manifestants préjugerait du sort des autres participants (en ce sens, v. l'arrêt 6B_1436/2022 précité consid. 3.6). En effet, chaque cas se doit d'être appréhendé individuellement. Au demeurant, il est relevé que le recourant ne démontre pas que des prononcés qui auraient déjà été rendus mentionneraient son identité, comporteraient des références personnelles le concernant ou feraient état de son comportement individuel. Le simple fait qu'un comportement individuel semblable soit jugé dans une autre procédure n'implique pas nécessairement une violation de la présomption d'innocence et ainsi, ne saurait commander de joindre l'ensemble des causes concernant chaque manifestation (en ce sens, v. les arrêts 6B_655/2022 précité consid. 1.2 et 6B_1436/2022 précité consid. 3.6; v. également l'arrêt de la CourEDH Bauras c. Lituanie du 31 octobre 2017, §§ 52 à 56, dans le cadre duquel aucune violation de la présomption d'innocence n'a été constatée, alors que les deux co-prévenus, jugés séparément, étaient tous deux accusés d'un double meurtre, en qualité d'auteur principal, respectivement d'instigateur, et que l'établissement des faits dans la cause du premier était directement pertinent pour la cause du second [§ 53]. La CourEDH a jugé une telle situation conforme à l' art. 6 par. 2 CEDH tant que l'autorité pénale, même si elle devait se prononcer sur l'implication factuelle du second co-prévenu, ne se prononçait pas directement et définitivement sur la culpabilité de celui-ci [§ 54]).</w:t>
      </w:r>
    </w:p>
    <w:p>
      <w:r>
        <w:rPr>
          <w:b/>
        </w:rPr>
        <w:t>E. 1.4</w:t>
      </w:r>
    </w:p>
    <w:p>
      <w:r>
        <w:t>En définitive, il y a lieu de constater que la décision de la cour cantonale refusant de joindre les différentes procédures pénales résultant de la manifestation du 20 septembre 2019 repose sur des motifs objectifs. En outre, elle ne consacre pas une violation des droits de la défense. Le grief du recourant doit être rejeté.</w:t>
      </w:r>
    </w:p>
    <w:p>
      <w:r>
        <w:rPr>
          <w:b/>
        </w:rPr>
        <w:t>E. 1.5</w:t>
      </w:r>
    </w:p>
    <w:p>
      <w:r>
        <w:t>Compte tenu de ce qui précède, il convient également de rejeter la requête du recourant tendant à la suspension de la présente cause pour qu'elle soit ultérieurement traitée par le Tribunal fédéral conjointement avec celles des autres manifestants du 20 septembre 2019. À ce stade avancé de la procédure, on ne voit pas que le principe de l'unité de la procédure, le principe tendant à éviter le rendu de jugements contradictoires, la présomption d'innocence ou encore l'art. 24 de la loi du 4 décembre 1947 sur la procédure civile fédérale (RS 273; PCF), applicable par analogie par renvoi de l' art. 71 LTF , ni même quelque autre principe, imposeraient de procéder de la sorte.</w:t>
      </w:r>
    </w:p>
    <w:p>
      <w:r>
        <w:rPr>
          <w:b/>
        </w:rPr>
        <w:t>E. 2</w:t>
      </w:r>
    </w:p>
    <w:p>
      <w:r>
        <w:t>À l'égard de toutes les infractions retenues, le recourant invoque une violation de son droit d'être entendu, sous forme d'un défaut de motivation par la cour cantonale. En substance, il soutient que l'on ne " trouvera pas une seule ligne dans la décision attaquée sur la prétendue réalisation des infractions par le recourant personnellement ", de quoi il déduit que " la décision attaquée est ainsi le cas type d'une motivation déficiente et même inexistante qui viole frontalement le droit d'être entendu [...]".</w:t>
      </w:r>
    </w:p>
    <w:p>
      <w:r>
        <w:rPr>
          <w:b/>
        </w:rPr>
        <w:t>E. 2.1</w:t>
      </w:r>
    </w:p>
    <w:p>
      <w:r>
        <w:t>Le droit d'être entendu, tel que garanti par les art. 29 al. 2 Cst. , 3 al. 2 let. c CPP et 6 par. 1 CEDH implique notamment,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147 IV 249 consid. 2.4; 142 II 154 consid. 4.2). Dès lors que l'on peut discerner les motifs qui ont guidé la décision de l'autorité, le droit à une décision motivée est respecté, même si la motivation présentée est erronée ( ATF 141 V 557 consid. 3.2.1; arrêt 6B_925/2022 du 29 mars 2023 consid. 3.1).</w:t>
      </w:r>
    </w:p>
    <w:p>
      <w:r>
        <w:rPr>
          <w:b/>
        </w:rPr>
        <w:t>E. 2.2</w:t>
      </w:r>
    </w:p>
    <w:p>
      <w:r>
        <w:t>En l'espèce, dans le jugement attaqué, la cour cantonale a commencé par relater les faits, soit en particulier les faits de la procédure et de la cause (consid. A à C), puis s'est penchée sur des questions procédurales, soit en particulier celles de la jonction des causes et des réquisitions de preuve (consid. 1 à 4). Après avoir constaté que le recourant ne contestait pas les faits, ce qui était en revanche le cas de C.________ et de D.________ (consid. 5), elle a fait état des dispositions légales applicables et de la jurisprudence s'agissant de la présomption d'innocence, de l' art. 239 CP , de l' art. 286 CP et de l'art. 41 RGP (consid. 5.1), sans mot dire sur l' art. 90 LCR . Elle a ensuite procédé à l'établissement définitif des faits, en réaction aux griefs soulevés par les deux précitées à cet égard, en concluant qu'il n'y avait pas lieu de s'écarter des rapports de police relatifs aux manifestations et de " confirmer le jugement de première instance s'agissant de l'implication des deux appelantes " (consid. 5.2). Finalement, la cour cantonale s'est penchée sur les alléguées violations du droit à la liberté de réunion pacifique (consid. 6) et de l' art. 52 CP (consid. 7), puis sur la fixation de la peine (consid. 8).</w:t>
      </w:r>
    </w:p>
    <w:p>
      <w:r>
        <w:rPr>
          <w:b/>
        </w:rPr>
        <w:t>E. 2.3</w:t>
      </w:r>
    </w:p>
    <w:p>
      <w:r>
        <w:t>Si la cour cantonale indique à une reprise que le recourant et ses coaccusés se sont " rendus coupables d'entrave aux services d'intérêt général, d'empêchement d'accomplir un acte officiel, de violation simple des règles de la circulation routière et de contravention à la LContr " (jugement attaqué consid. 6.2 in fine ), force est de constater que le jugement attaqué ne contient aucun raisonnement juridique qui expliquerait en quoi les faits retenus individuellement contre le recourant seraient constitutifs des infractions précitées. Il découle de cette omission une violation du droit d'être entendu du recourant et l'impossibilité pour le Tribunal fédéral d'exercer son contrôle ( art. 112 al. 3 LTF ). Dans cette mesure, le jugement attaqué doit être annulé et la cause renvoyée à la cour cantonale pour nouvelle décision. Il incombera à celle-ci de livrer une motivation circonstanciée, en particulier quant aux faits reprochés au recourant, à l'égard de chacune des manifestations, et pour toutes les infractions retenues.</w:t>
      </w:r>
    </w:p>
    <w:p>
      <w:r>
        <w:rPr>
          <w:b/>
        </w:rPr>
        <w:t>E. 3</w:t>
      </w:r>
    </w:p>
    <w:p>
      <w:r>
        <w:t>Ce qui précède rend sans objet les autres griefs soulevés par le recourant. Par soucis d'économie de procédure, il est néanmoins relevé qu'à deux reprises, la cour cantonale semble libérer le recourant de l'infraction à la LContr (cf. jugement attaqué consid. 6.2 [" La règle générale de l'art. 41 RGP qui réprime la participation à toute manifestation ne peut pas être retenue "] et consid. 8 [" Toutefois, les peines doivent être examinées d'office, ce d'autant que les prévenus sont libérés de la contravention à l'art. 41 RGP "]). Or, si tant est qu'il ne s'agisse pas là d'un acquittement partiel, ce que le jugement attaqué ne précise pas, il est constaté que le dispositif du jugement cantonal ne fait pas état de cette libération, au contraire. Il incombera dès lors également à la cour cantonale de préciser ses intentions à ce titre.</w:t>
      </w:r>
    </w:p>
    <w:p>
      <w:r>
        <w:rPr>
          <w:b/>
        </w:rPr>
        <w:t>E. 4</w:t>
      </w:r>
    </w:p>
    <w:p>
      <w:r>
        <w:t>Le recours doit être partiellement admis, le jugement attaqué annulé et la cause renvoyée à la cour cantonale pour nouvelle décision. Pour le reste, le recours doit être rejeté dans la mesure où il n'est pas sans objet. Au regard de la nature procédurale des vices examinés et dans la mesure où le Tribunal fédéral n'a pas traité la cause sur le fond, ne préjugeant ainsi pas de l'issue de celle-ci, il peut être procédé au renvoi sans ordonner préalablement un échange d'écritures ( ATF 133 IV 293 consid. 3.4.2). Le recourant, qui obtient partiellement gain de cause, peut prétendre à des dépens réduits à la charge du canton de Vaud ( art. 68 al. 1 LTF ) et supporte une partie des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