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6B_40/2015 vom 5. Februar 2015</w:t>
      </w:r>
    </w:p>
    <w:p>
      <w:r>
        <w:t>Bundesgericht, 2015-02-05, FR</w:t>
      </w:r>
    </w:p>
    <w:p>
      <w:r>
        <w:rPr>
          <w:b/>
        </w:rPr>
        <w:t xml:space="preserve">Quelle: </w:t>
      </w:r>
      <w:r>
        <w:t>https://mcp.opencaselaw.ch/entscheid/bger_6B_40_2015</w:t>
      </w:r>
    </w:p>
    <w:p>
      <w:r>
        <w:t>FR: TF 6B_40/2015 du 5 février 2015</w:t>
      </w:r>
    </w:p>
    <w:p>
      <w:r>
        <w:t>IT: TF 6B_40/2015 del 5 febbraio 2015</w:t>
      </w:r>
    </w:p>
    <w:p>
      <w:pPr>
        <w:pStyle w:val="Heading2"/>
      </w:pPr>
      <w:r>
        <w:t>Erwägungen</w:t>
      </w:r>
    </w:p>
    <w:p>
      <w:r>
        <w:rPr>
          <w:b/>
        </w:rPr>
        <w:t>E. 1</w:t>
      </w:r>
    </w:p>
    <w:p>
      <w:r>
        <w:t>Aux termes de l' art. 81 al. 1 LTF , a qualité pour former un recours en matière pénale quiconque a pris part à la procédure devant l'autorité précédente (...) et a un intérêt juridique à l'annulation ou à la modification de la décision attaquée, soit en particulier l'accusé (let. a et b ch. 1).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Le recourant doit avoir été affecté dans des intérêts que la norme prétendument violée a pour but de protéger (arrêt 1B_376/2013 du 18 novembre 2013 consid. 3).</w:t>
      </w:r>
    </w:p>
    <w:p>
      <w:r>
        <w:t>En l'occurrence, le recourant demande à exécuter sa sanction jusqu'à son terme. Il n'expose pas en quoi consisterait son intérêt et on peine à le distinguer. La recevabilité du recours apparaît ainsi douteuse. Cette question souffre toutefois de demeurer indécise, le recours étant de toute manière infondé, dans la mesure où il est recevable, pour les motifs suivants.</w:t>
      </w:r>
    </w:p>
    <w:p>
      <w:r>
        <w:rPr>
          <w:b/>
        </w:rPr>
        <w:t>E. 2</w:t>
      </w:r>
    </w:p>
    <w:p>
      <w:r>
        <w:t>Le recourant fait grief à la cour cantonale d'avoir arbitrairement établi les faits.</w:t>
      </w:r>
    </w:p>
    <w:p>
      <w:r>
        <w:rPr>
          <w:b/>
        </w:rPr>
        <w:t>E. 2.1</w:t>
      </w:r>
    </w:p>
    <w:p>
      <w:r>
        <w:t>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2.2</w:t>
      </w:r>
    </w:p>
    <w:p>
      <w:r>
        <w:t>Le recourant reproche à la cour cantonale de ne pas avoir retenu qu'il était père de trois enfants. Toutefois, il ressort de l'arrêt entrepris (consid. B/b, p. 4) que le recourant a fait état du fait qu'il était père de trois enfants lors de l'audience devant le Juge d'application des peines. Pour le surplus, le recourant ne démontre pas en quoi la cour cantonale aurait ignoré cet élément. Insuffisamment motivé, son grief est irrecevable.</w:t>
      </w:r>
    </w:p>
    <w:p>
      <w:r>
        <w:rPr>
          <w:b/>
        </w:rPr>
        <w:t>E. 3</w:t>
      </w:r>
    </w:p>
    <w:p>
      <w:r>
        <w:t>Le recourant se plaint d'une violation de son droit d'être entendu et de l' art. 8 CEDH .</w:t>
      </w:r>
    </w:p>
    <w:p>
      <w:r>
        <w:rPr>
          <w:b/>
        </w:rPr>
        <w:t>E. 3.1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Il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6B_101/2011 du 14 février 2012 consid. 3.1).</w:t>
      </w:r>
    </w:p>
    <w:p>
      <w:r>
        <w:rPr>
          <w:b/>
        </w:rPr>
        <w:t>E. 3.2</w:t>
      </w:r>
    </w:p>
    <w:p>
      <w:r>
        <w:t>Le recourant fait grief à la cour cantonale de ne pas s'être prononcée sur son grief relatif à une violation de l' art. 8 CEDH . Cette disposition, qui protège le droit au respect de la vie familiale, serait violée dès lors que le renvoi du recourant dans son pays l'empêcherait d'entretenir des relations avec ses enfants.</w:t>
      </w:r>
    </w:p>
    <w:p>
      <w:r>
        <w:rPr>
          <w:b/>
        </w:rPr>
        <w:t>E. 3.3</w:t>
      </w:r>
    </w:p>
    <w:p>
      <w:r>
        <w:t>Il ressort de l'arrêt attaqué que le recourant a fait l'objet, sur le plan administratif, d'une décision, rendue le 15 août 2013, de non-entrée en matière concernant la demande d'autorisation de séjour par regroupement familial et de renvoi, décision entrée en force le 2 septembre 2013. Contrairement à ce que paraît soutenir le recourant, il n'a pas fait l'objet d'une décision d'expulsion pénale - au demeurant supprimée du code pénal depuis le 1</w:t>
      </w:r>
    </w:p>
    <w:p>
      <w:r>
        <w:t>er janvier 2007 - mais d'une décision administrative, entrée en force, à la suite de laquelle il n'est plus autorisé à séjourner en Suisse. Dès lors, les autorités cantonales, en ordonnant la libération conditionnelle du recourant au jour de son renvoi, n'ont pas statué sur son expulsion. Elles n'ont fait que prendre acte de l'existence d'une décision définitive sur la question du statut juridique du recourant en Suisse et n'avaient par conséquent pas à examiner si ce renvoi violait ou non l' art. 8 CEDH . Il incombait au recourant de faire valoir ses arguments devant les autorités administratives, seules à même de statuer sur son droit à séjourner en Suisse. La cour cantonale n'a dès lors pas violé le droit d'être entendu du recourant en n'examinant pas expressément son grief sur lequel elle n'avait pas le pouvoir de statuer.</w:t>
      </w:r>
    </w:p>
    <w:p>
      <w:r>
        <w:rPr>
          <w:b/>
        </w:rPr>
        <w:t>E. 3.4</w:t>
      </w:r>
    </w:p>
    <w:p>
      <w:r>
        <w:t>Pour le surplus, le recourant ne discute pas de la motivation de l'arrêt attaqué et ne formule de la sorte aucun grief recevable au regard de l' art. 42 al. 2 LTF tiré de l'application erronée des dispositions relatives à la libération conditionnelle. Il n'y a dès lors pas lieu d'examiner cette question.</w:t>
      </w:r>
    </w:p>
    <w:p>
      <w:r>
        <w:rPr>
          <w:b/>
        </w:rPr>
        <w:t>E. 4</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