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406/2019 vom 27. Mai 2019</w:t>
      </w:r>
    </w:p>
    <w:p>
      <w:r>
        <w:t>Bundesgericht, 2019-05-27, FR</w:t>
      </w:r>
    </w:p>
    <w:p>
      <w:r>
        <w:rPr>
          <w:b/>
        </w:rPr>
        <w:t xml:space="preserve">Quelle: </w:t>
      </w:r>
      <w:r>
        <w:t>https://mcp.opencaselaw.ch/entscheid/bger_6B_406_2019</w:t>
      </w:r>
    </w:p>
    <w:p>
      <w:r>
        <w:t>FR: TF 6B 406/2019 du 27 mai 2019</w:t>
      </w:r>
    </w:p>
    <w:p>
      <w:r>
        <w:t>IT: TF 6B 406/2019 del 27 maggio 2019</w:t>
      </w:r>
    </w:p>
    <w:p>
      <w:pPr>
        <w:pStyle w:val="Heading2"/>
      </w:pPr>
      <w:r>
        <w:t>Regeste</w:t>
      </w:r>
    </w:p>
    <w:p>
      <w:r>
        <w:t>Irrecevabilité formelle du recours en matière pénale (défaut d'avance de frais)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rPr>
          <w:b/>
        </w:rPr>
        <w:t>E. 2</w:t>
      </w:r>
    </w:p>
    <w:p>
      <w:r>
        <w:t>En l'espèce, dans le cadre de la procédure de recours citée sous rubrique, X.________ a été invité, par ordonnance du 1er avril 2019 notifiée comme acte judiciaire, à avancer les frais de la procédure, par 3000 fr., jusqu'au 1er mai 2019. Ce montant n'ayant pas été payé, par ordonnance du 8 mai 2019 notifiée comme acte judiciaire, un délai supplémentaire non prolongeable échéant le 20 mai 2019 lui a été imparti à cette fin, avec l'indication des conséquences légales d'un non-paiement de ce montant dans le délai fixé ( art. 62 al. 3 LTF ). X.________ n'a pas réagi à cette communication non plus. Il s'ensuit que les frais de la cause n'ont pas été avancés et que X.________ n'est pas au bénéfice de l'assistance judiciaire, ce qui entraîne l'irrecevabilité du recours, lequel doit être liquidé dans la procédure prévue par l' art. 108 al. 1 let. a LTF .</w:t>
      </w:r>
    </w:p>
    <w:p>
      <w:r>
        <w:rPr>
          <w:b/>
        </w:rPr>
        <w:t>E. 3</w:t>
      </w:r>
    </w:p>
    <w:p>
      <w:r>
        <w:t>X.________ supporte les frais de la procédure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