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405/2017 vom 16. März 2018</w:t>
      </w:r>
    </w:p>
    <w:p>
      <w:r>
        <w:t>Bundesgericht, 2018-03-16, FR</w:t>
      </w:r>
    </w:p>
    <w:p>
      <w:r>
        <w:rPr>
          <w:b/>
        </w:rPr>
        <w:t xml:space="preserve">Quelle: </w:t>
      </w:r>
      <w:r>
        <w:t>https://mcp.opencaselaw.ch/entscheid/bger_6B_405_2017</w:t>
      </w:r>
    </w:p>
    <w:p>
      <w:r>
        <w:t>FR: TF 6B 405/2017 du 16 mars 2018</w:t>
      </w:r>
    </w:p>
    <w:p>
      <w:r>
        <w:t>IT: TF 6B 405/2017 del 16 marzo 2018</w:t>
      </w:r>
    </w:p>
    <w:p>
      <w:pPr>
        <w:pStyle w:val="Heading2"/>
      </w:pPr>
      <w:r>
        <w:t>Regeste</w:t>
      </w:r>
    </w:p>
    <w:p>
      <w:r>
        <w:t>Ordonnance de non-entrée en matière (fausse déclaration d'une partie en justice, faux témoignage)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On entend par lésé toute personne dont les droits ont été touchés directement par une infraction ( art. 115 al. 1 CPP ). Selon la jurisprudence,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(arrêt 6B_615/2015 du 29 octobre 2015 consid. 1.1 non publié aux ATF 141 IV 444 ; ATF 139 IV 78 consid. 3.3.3 p. 81 s.; 138 IV 258 consid. 2.2 et 2.3 p. 262 s.).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notamment son préjudice et la réparation à laquelle elle prétend.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En l'occurrence, l'autorité précédente a considéré que le recourant ne pouvait être considéré comme lésé par les infractions dénoncées (fausse déclaration d'une partie en justice; faux témoignage) de sorte que son recours était irrecevable. Subsidiairement, elle a rejeté le recours, dès lors qu'un acquittement apparaissait plus vraisemblable qu'une condamnation. En pareille hypothèse, il suffirait qu'une seule des deux motivations subsiste pour devoir écarter le recours en matière pénale (cf. ATF 133 III 221 consid. 7 p. 228; arrêt 6B_606/2016 du 10 février 2017 consid. 1.2 et arrêts cités). Il apparaît dès lors opportun d'examiner en premier lieu si le recourant a qualité pour recourir dans la perspective de la discussion qu'il propose sous l'angle du fond (cf. art. 81 al. 1 let. a et b ch. 5 LTF).</w:t>
      </w:r>
    </w:p>
    <w:p>
      <w:r>
        <w:rPr>
          <w:b/>
        </w:rPr>
        <w:t>E. 1.3</w:t>
      </w:r>
    </w:p>
    <w:p>
      <w:r>
        <w:t>Le recourant affirme qu'au vu de sa condamnation à libérer la servitude de passage, la seule issue dont il dispose est la dénonciation afin de pouvoir envisager une demande de révision au sens de l' art. 396 al. 1 let. b CPC . Se référant à son mémoire de recours cantonal, le recourant allègue que ses intérêts privés sont lésés et que l'existence d'un préjudice résultant des fausses déclarations est la finalité de sa dénonciation sans qu'il faille se livrer à de longs développements. Il affirme que les infractions dénoncées ont eu à l'évidence pour conséquence un jugement qui lui est dommageable et défavorable, dès lors qu'il a dû libérer une servitude de passage. Le dommage se définit comme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123 IV 17 consid. 3d p. 22; arrêt 6B_944/2016 du 29 août 2017 consid. 3.3). Le recourant n'expose pas en quoi consisterait son dommage et ne fait pas valoir de tort moral. Une entrée en matière sur la plainte pénale aurait pour seul effet d'entraîner l'ouverture d'une procédure préliminaire. A supposer que le recourant obtienne une condamnation au terme de cette procédure, il pourrait, ainsi qu'il le prétend, envisager une demande de révision de la décision le condamnant à libérer la servitude de passage, devant les juges civils et tout au plus pourrait-il obtenir d'eux le rejet de l'action confessoire. Or l'hypothétique influence, par le biais d'une demande de révision, d'un jugement civil admettant une action confessoire à l'encontre du recourant, ne suffit pas pour fonder sa qualité pour recourir en matière pénale auprès du Tribunal fédéral, étant précisé que le procès civil ne l'oppose pas aux personnes qu'il dénonce pénalement. Aussi, l'on ne voit pas quelles prétentions civiles le recourant pourrait faire valoir, ni de lien direct entre celles-ci et les infractions dénoncées. Partant, le recourant ne démontre pas à satisfaction de droit la réalisation des conditions permettant de lui reconnaître la qualité pour recourir sur le fond. Dès lors que ce pan de l'ordonnance cantonale subsiste et dans la mesure où le recourant ne formule pas de grief recevable quant à une éventuelle violation de son droit d'être entendu ni ne prétend avoir été indûment privé d'une voie de droit, le Tribunal fédéral peut se dispenser d'examiner les motifs qui ont conduit l'autorité précédente à prononcer l'irrecevabilité du recours (cf. supra consid. 1.2).</w:t>
      </w:r>
    </w:p>
    <w:p>
      <w:r>
        <w:rPr>
          <w:b/>
        </w:rPr>
        <w:t>E. 1.4</w:t>
      </w:r>
    </w:p>
    <w:p>
      <w:r>
        <w:t>L'hypothèse visée à l'art. 81 al. 1 let. b ch. 6 LTF n'entre pas en considération, le recourant ne soulevant aucun grief quant à son droit de porter plainte.</w:t>
      </w:r>
    </w:p>
    <w:p>
      <w:r>
        <w:rPr>
          <w:b/>
        </w:rPr>
        <w:t>E. 1.5</w:t>
      </w:r>
    </w:p>
    <w:p>
      <w:r>
        <w:t>Indépendamment des conditions posées par l'art. 81 al. 1 let. a et b ch. 5 LTF,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 Ainsi que relevé supra , le recourant n'invoque pas de violation de ses droits de partie équivalant à un déni de justice formel quant à sa qualité pour recourir au niveau cantonal. Les différents actes d'instruction requis (auditions, expertise) en vue d'établir les infractions que le recourant dénonce ne peuvent pas être séparés du fond, de sorte que les griefs dirigés contre le refus d'entreprendre des mesures d'instruction sont irrecevables. Dans son ordonnance du 27 février 2017, le juge cantonal a déclaré que l'écriture déposée par le recourant le 2 février 2017 était tardive ( art. 396 al. 1 CPP ), donc irrecevable. Sans invoquer expressément une violation de son droit d'être entendu ou de ses droits de partie équivalant à un déni de justice formel, le recourant affirme que son écriture ampliative postée le 2 février était recevable et consacrait " un exercice effectif de son droit d'être entendu, plus généralement à une justice sereine et non pas expéditive " . Ce faisant, il ne remplit pas les exigences minimales de motivation déduites des art. 42 al. 2 et 106 al. 2 LTF. En tant que le recourant allègue que son écriture du 2 février 2017 " pouvait être examinée " par le juge cantonal " sous l'aspect de la restitution de délai " au sens de l' art. 94 CPP , il procède à une appréciation personnelle de sa propre écriture, sans pour autant prétendre ni établir que celle-ci aurait été appréciée en violation du droit ( art. 106 al. 2 LTF ).</w:t>
      </w:r>
    </w:p>
    <w:p>
      <w:r>
        <w:rPr>
          <w:b/>
        </w:rPr>
        <w:t>E. 1.6</w:t>
      </w:r>
    </w:p>
    <w:p>
      <w:r>
        <w:t>Au vu de ce qui précède, le recours doit être déclaré irrecevable.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