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405/2009 vom 15. Juni 2009</w:t>
      </w:r>
    </w:p>
    <w:p>
      <w:r>
        <w:t>Bundesgericht, 2009-06-15, DE</w:t>
      </w:r>
    </w:p>
    <w:p>
      <w:r>
        <w:rPr>
          <w:b/>
        </w:rPr>
        <w:t xml:space="preserve">Quelle: </w:t>
      </w:r>
      <w:r>
        <w:t>https://mcp.opencaselaw.ch/entscheid/bger_6B_405_2009</w:t>
      </w:r>
    </w:p>
    <w:p>
      <w:r>
        <w:t>FR: TF 6B 405/2009 du 15 juin 2009</w:t>
      </w:r>
    </w:p>
    <w:p>
      <w:r>
        <w:t>IT: TF 6B 405/2009 del 15 giugno 2009</w:t>
      </w:r>
    </w:p>
    <w:p>
      <w:pPr>
        <w:pStyle w:val="Heading2"/>
      </w:pPr>
      <w:r>
        <w:t>Regeste</w:t>
      </w:r>
    </w:p>
    <w:p>
      <w:r>
        <w:t>Verjährung (Art. 72 Ziff. 2 aStGB) | Strafrecht (allgemein)</w:t>
      </w:r>
    </w:p>
    <w:p>
      <w:pPr>
        <w:pStyle w:val="Heading2"/>
      </w:pPr>
      <w:r>
        <w:t>Erwägungen</w:t>
      </w:r>
    </w:p>
    <w:p>
      <w:r>
        <w:rPr>
          <w:b/>
        </w:rPr>
        <w:t>E. 1</w:t>
      </w:r>
    </w:p>
    <w:p>
      <w:r>
        <w:t>Die Beschwerde in Strafsachen ist zulässig gegen Entscheide, die das kantonale Verfahren abschliessen ( Art. 90 BGG ). Das Obergericht hat einen Entscheid der ersten Instanz aufgehoben und die Sache zur materiellen Beurteilung an diese zurückgewiesen. Der angefochtene Entscheid schliesst das kantonale Verfahren folglich nicht ab. Dass einer der Ausnahmefälle von Art. 93 Abs. 1 BGG erfüllt wäre, macht der Beschwerdeführer nicht geltend (zu den Begründungsanforderungen Urteil 5A_472/2007 vom 12. November 2007, E. 2.3). Dies springt auch nicht in die Augen, da in Bezug auf die Frage der Verjährung im kantonalen Verfahren unterschiedliche Ansichten herrschten (Beschwerde S. 5). Auf die Beschwerde ist im Verfahren nach Art. 108 BGG nicht einzutreten. Mit dem Entscheid in der Sache ist das Gesuch um aufschiebende Wirkung gegenstandslos geworden.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