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6B_404/2017 vom 20. Dezember 2017</w:t>
      </w:r>
    </w:p>
    <w:p>
      <w:r>
        <w:t>Bundesgericht, 2017-12-20, FR</w:t>
      </w:r>
    </w:p>
    <w:p>
      <w:r>
        <w:rPr>
          <w:b/>
        </w:rPr>
        <w:t xml:space="preserve">Quelle: </w:t>
      </w:r>
      <w:r>
        <w:t>https://mcp.opencaselaw.ch/entscheid/bger_6B_404_2017</w:t>
      </w:r>
    </w:p>
    <w:p>
      <w:r>
        <w:t>FR: TF 6B_404/2017 du 20 décembre 2017</w:t>
      </w:r>
    </w:p>
    <w:p>
      <w:r>
        <w:t>IT: TF 6B_404/2017 del 20 dicembre 2017</w:t>
      </w:r>
    </w:p>
    <w:p>
      <w:pPr>
        <w:pStyle w:val="Heading2"/>
      </w:pPr>
      <w:r>
        <w:t>Erwägungen</w:t>
      </w:r>
    </w:p>
    <w:p>
      <w:r>
        <w:rPr>
          <w:b/>
        </w:rPr>
        <w:t>E. 1</w:t>
      </w:r>
    </w:p>
    <w:p>
      <w:r>
        <w:t>Invoquant la violation du droit d'être entendu, le recourant reproche à la cour cantonale d'avoir refusé d'entendre le témoin E.________.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140 I 285 consid. 6.3.1 p. 229 et les arrêts cités).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 ATF 141 I 60 consid. 3.3 p. 64 et l'arrêt cité).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1.2</w:t>
      </w:r>
    </w:p>
    <w:p>
      <w:r>
        <w:t>Procédant à l'appréciation anticipée du moyen de preuve offert, la cour cantonale a considéré que l'audition du témoin n'était pas nécessaire. Elle a indiqué qu'une tentative de médiation avait été conduite sous l'égide dudit témoin mais qu'elle s'était soldée par le dépôt d'une plainte pénale, le 23 mai 2016, de l'intimé contre le témoin pour voies de fait et menaces. La cour pouvait donc sans arbitraire considérer que l'audition de ce dernier n'était pas nécessaire pour l'examen des infractions reprochées aux co-prévenus. En particulier, le fait que l'intimé ait pu adopter un comportement violent face au témoin ne signifie nullement, comme se contente de le soutenir le recourant de façon appellatoire, que les violences dont il a fait l'objet seraient dépourvues de séquelles physiques. Le recourant ne fait qu'exposer sa propre opinion et ne démontre nullement en quoi l'appréciation de la cour cantonale serait insoutenable. Son grief ne répond pas aux exigences de motivation accrues de l' art. 106 al. 2 LTF .</w:t>
      </w:r>
    </w:p>
    <w:p>
      <w:r>
        <w:rPr>
          <w:b/>
        </w:rPr>
        <w:t>E. 2</w:t>
      </w:r>
    </w:p>
    <w:p>
      <w:r>
        <w:t>Dans un deuxième grief, le recourant invoque une violation du droit d'obtenir une décision motivée. Selon lui, la cour cantonale a accordé foi au certificat médical du 13 avril 2016 sans motiver sa décision sur ce point.</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47 et les références citées). L'autorité n'a pas l'obligation d'exposer et de discuter tous les faits, moyens de preuve et griefs invoqués par les parties, mais elle peut au contraire se limiter à ceux qui lui paraissent pertinents ( ATF 142 II 154 consid. 4.2 p. 157).</w:t>
      </w:r>
    </w:p>
    <w:p>
      <w:r>
        <w:rPr>
          <w:b/>
        </w:rPr>
        <w:t>E. 2.2</w:t>
      </w:r>
    </w:p>
    <w:p>
      <w:r>
        <w:t>La cour cantonale a constaté que les lésions corporelles simples qualifiées avaient été retenues, de sorte que le recourant devait être reconnu débiteur d'une indemnité à titre de réparation morale. Elle a souligné que l'intimé avait vécu une violente agression à la suite de laquelle il a subi un traumatisme crânien mineur avec perte de connaissance et plaie suturée de sept points, et elle a indiqué que l'intimé se plaignait auprès de son médecin de céphalées et de douleurs au niveau du visage. Elle a ainsi accordé foi aux déclarations de l'intimé rapportées par son médecin. Par ailleurs, contrairement aux allégations du recourant sur ce point, la cour cantonale a constaté que l'intimé ne souffrait d'aucune conséquence d'ordre psychologique, tout en retenant l'existence de séquelles invalidantes physiques au quotidien.</w:t>
      </w:r>
    </w:p>
    <w:p>
      <w:r>
        <w:t>Il s'ensuit que la cour cantonale a suffisamment exposé les motifs de sa décision. Le grief de violation du droit d'être entendu est infondé.</w:t>
      </w:r>
    </w:p>
    <w:p>
      <w:r>
        <w:rPr>
          <w:b/>
        </w:rPr>
        <w:t>E. 3</w:t>
      </w:r>
    </w:p>
    <w:p>
      <w:r>
        <w:t>Le recourant invoque également une appréciation arbitraire des preuves en lien avec le principe in " dubio pro reo ", la cour cantonale ayant, selon lui, accordé foi à un certificat médical dépourvu de toute force probante.</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 in dubio pro reo " n'a pas de portée plus large que l'interdiction de l'arbitraire ( ATF 138 V 74 consid. 7 p. 82).</w:t>
      </w:r>
    </w:p>
    <w:p>
      <w:r>
        <w:rPr>
          <w:b/>
        </w:rPr>
        <w:t>E. 3.2</w:t>
      </w:r>
    </w:p>
    <w:p>
      <w:r>
        <w:t>Dans la mesure où l'argumentation développée par le recourant répond aux exigences accrues de l' art. 106 al. 2 LTF , elle n'est pas susceptible de démontrer que la cour cantonale aurait versé dans l'arbitraire en retenant que l'intimé souffrait encore de séquelles invalidantes. En effet, la cour cantonale a indiqué dans sa motivation que le " plaignant se plaint toujours à son médecin de céphalées et de douleurs au niveau du visage intermittentes ". Elle n'a pas, comme le soutient le recourant, retenu qu'il s'agirait des conclusions d'un expert. Elle a procédé à une appréciation de la preuve, le certificat médical, qui fait état des plaintes de l'intimé sur les suites physiques de l'agression comme les céphalées, les douleurs au visage et les acouphènes bilatéraux. Ces problèmes ne sont pas en contradiction avec les suites possibles des coups reçus telles qu'indiquées dans le rapport du CHUV. La cour cantonale a également pris en compte la gravité de l'atteinte, l'intimé ayant subi un traumatisme crânien mineur avec perte de connaissance et plaie suturée de sept points. Le recourant rediscute librement l'appréciation des preuves à laquelle s'est livrée la cour cantonale pour tenter de jeter le discrédit sur les déclarations de l'intimé à son médecin sans cependant apporter d'éléments probants en sa faveur. Le grief est rejeté dans la mesure de sa recevabilité.</w:t>
      </w:r>
    </w:p>
    <w:p>
      <w:r>
        <w:rPr>
          <w:b/>
        </w:rPr>
        <w:t>E. 4</w:t>
      </w:r>
    </w:p>
    <w:p>
      <w:r>
        <w:t>Le recourant conteste la mesure de la peine qui lui a été infligée et conclut à une réduction de moitié de celle fixée par la cour cantonale.</w:t>
      </w:r>
    </w:p>
    <w:p>
      <w:r>
        <w:rPr>
          <w:b/>
        </w:rPr>
        <w:t>E. 4.1</w:t>
      </w:r>
    </w:p>
    <w:p>
      <w:r>
        <w:t>La cour cantonale a constaté que le recourant s'était rendu coupable de lésions corporelles simples qualifiées et que sa culpabilité était lourde. On se trouvait en présence d'une agression commise à deux en lien avec le remboursement d'une prétendue dette d'argent et les coups donnés, notamment les coups de pieds au visage, étaient graves. Il fallait également tenir compte, à charge, du lourd passé judiciaire du recourant. A sa décharge, la cour cantonale a pris en considération ses aveux relativement spontanés et sa situation financière précaire.</w:t>
      </w:r>
    </w:p>
    <w:p>
      <w:r>
        <w:t>L'autorité précédente a observé que le recourant avait été condamné à des peines pécuniaires de 180 jours-amende le 2 octobre 2014 et de 30 jours-amende le 5 février 2016. Rappelant qu'il ne peut y avoir de peine complémentaire que lorsque les peines sont du même genre et que le prononcé d'une peine pécuniaire complémentaire n'est envisageable que si la peine totale ne dépasse pas 360 jours, la cour cantonale a constaté qu'au regard de l'importance de la culpabilité du recourant pour les faits de la présente affaire, la peine globale prononcée pour l'ensemble des infractions de 2014 et 2016 devait de toute façon dépasser 360 jours, ce qui excluait le prononcé d'une peine pécuniaire complémentaire. La peine infligée dans le cadre de la présente affaire ne pouvait dès lors qu'être une peine privative de liberté. Il fallait néanmoins veiller à ce que le prévenu ne soit pas sanctionné plus sévèrement que s'il avait été jugé en une seule fois pour toutes les infractions. Dans ce contexte, la peine de quinze mois prononcée par les premiers juges, ajoutée aux peines précédentes de 30 et 180 jours-amende, impliquait une condamnation totale à une peine de vingt-deux mois, ce qui paraissait excessif au vu de sa culpabilité. La cour cantonale a donc réduit la nouvelle peine à douze mois.</w:t>
      </w:r>
    </w:p>
    <w:p>
      <w:r>
        <w:rPr>
          <w:b/>
        </w:rPr>
        <w:t>E. 4.2</w:t>
      </w:r>
    </w:p>
    <w:p>
      <w:r>
        <w:t>Le raisonnement de l'autorité précédente échappe à toute critique. En tant que le recourant soutient que la peine prononcée est excessive car elle ne tiendrait pas compte du fait qu'un retrait de plainte contre paiement d'une somme d'argent à l'intimé aurait été discuté, cette argumentation n'est pas pertinente. Le juge fixe la peine d'après la culpabilité de l'auteur: il doit tenir compte de tous les éléments objectifs pertinents qui ont trait à l'acte lui-même, à savoir notamment la gravité de la lésion, le caractère répréhensible de l'acte et son mode d'exécution. Du point de vue subjectif, sont également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s.). Les éléments invoqués par le recourant, sans rapport avec l'infraction commise, ne sont pas adéquats pour évaluer sa culpabilité.</w:t>
      </w:r>
    </w:p>
    <w:p>
      <w:r>
        <w:t>La peine privative de liberté de douze mois, fixée en conformité avec les principes évoqués ci-dessus, ne viole pas le droit fédéral.</w:t>
      </w:r>
    </w:p>
    <w:p>
      <w:r>
        <w:rPr>
          <w:b/>
        </w:rPr>
        <w:t>E. 5</w:t>
      </w:r>
    </w:p>
    <w:p>
      <w:r>
        <w:t>Enfin le recourant reproche à la cour cantonale de lui avoir refusé l'octroi d'un sursis partiel.</w:t>
      </w:r>
    </w:p>
    <w:p>
      <w:r>
        <w:rPr>
          <w:b/>
        </w:rPr>
        <w:t>E. 5.1</w:t>
      </w:r>
    </w:p>
    <w:p>
      <w:r>
        <w:t>Selon 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(art. 86) ne lui sont pas applicables (al. 3).</w:t>
      </w:r>
    </w:p>
    <w:p>
      <w:r>
        <w:rPr>
          <w:b/>
        </w:rPr>
        <w:t>E. 5.2</w:t>
      </w:r>
    </w:p>
    <w:p>
      <w:r>
        <w:t>Le passé judiciaire du recourant est lourd. Son casier judiciaire mentionne six condamnations pour la période antérieure aux faits reprochés, de 2009 à 2013 (cf. jugement attaqué, p. 16 s.). Sa propension à commettre des infractions est grande. C'est à juste titre que la cour cantonale a posé un pronostic défavorable. La décision attaquée ne viole donc pas le droit fédéral.</w:t>
      </w:r>
    </w:p>
    <w:p>
      <w:r>
        <w:rPr>
          <w:b/>
        </w:rPr>
        <w:t>E. 6</w:t>
      </w:r>
    </w:p>
    <w:p>
      <w:r>
        <w:t>Au vu de ce qui précède, le recours doit être rejeté dans la mesure de sa recevabilité.</w:t>
      </w:r>
    </w:p>
    <w:p>
      <w:r>
        <w:t>Le recours était d'emblée voué à l'échec, de sorte que l'assistance judiciaire requise en relation avec la présente procédure doit être refusée ( art. 64 al. 1 LTF ). Le recourant, qui succombe, devra donc supporter les frais judiciaires ( art. 66 al. 1 LTF ), dont le montant sera toutefois fixé en tenant compte de sa situation financière ( art. 65 al. 2 LTF ). L'issue du litige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