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6B_404/2015 vom 17. Juni 2015</w:t>
      </w:r>
    </w:p>
    <w:p>
      <w:r>
        <w:t>Bundesgericht, 2015-06-17, DE</w:t>
      </w:r>
    </w:p>
    <w:p>
      <w:r>
        <w:rPr>
          <w:b/>
        </w:rPr>
        <w:t xml:space="preserve">Quelle: </w:t>
      </w:r>
      <w:r>
        <w:t>https://mcp.opencaselaw.ch/entscheid/bger_6B_404_2015</w:t>
      </w:r>
    </w:p>
    <w:p>
      <w:r>
        <w:t>FR: TF 6B_404/2015 du 17 juin 2015</w:t>
      </w:r>
    </w:p>
    <w:p>
      <w:r>
        <w:t>IT: TF 6B_404/2015 del 17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Luzern, Postfach 3439, 6002 Luzern,</w:t>
      </w:r>
    </w:p>
    <w:p>
      <w:r>
        <w:rPr>
          <w:b/>
        </w:rPr>
        <w:t>E. 2</w:t>
      </w:r>
    </w:p>
    <w:p>
      <w:r>
        <w:t>Die Gerichtskosten sind der Beschwerdeführerin aufzuerlegen ( Art. 66 Abs. 1 BGG ). Dem Beschwerdegegner 2 ist keine Entschädigung auszurichten, weil er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