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6B_403/2020 vom 24. April 2020</w:t>
      </w:r>
    </w:p>
    <w:p>
      <w:r>
        <w:t>Bundesgericht, 2020-04-24, FR</w:t>
      </w:r>
    </w:p>
    <w:p>
      <w:r>
        <w:rPr>
          <w:b/>
        </w:rPr>
        <w:t xml:space="preserve">Quelle: </w:t>
      </w:r>
      <w:r>
        <w:t>https://mcp.opencaselaw.ch/entscheid/bger_6B_403_2020</w:t>
      </w:r>
    </w:p>
    <w:p>
      <w:r>
        <w:t>FR: TF 6B_403/2020 du 24 avril 2020</w:t>
      </w:r>
    </w:p>
    <w:p>
      <w:r>
        <w:t>IT: TF 6B_403/2020 del 24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actes datés des 23 et 27 mars 2020, A.________ forme un recours en matière pénale au Tribunal fédéral contre la décision du 12 mars 2020 de la Cour des plaintes du Tribunal pénal fédéral, par laquelle cette dernière a rejeté le recours formé par le prénommé contre une ordonnance de non-entrée en matière du Ministère public de la Confédération du 27 février 2020.</w:t>
      </w:r>
    </w:p>
    <w:p>
      <w:r>
        <w:rPr>
          <w:b/>
        </w:rPr>
        <w:t>E. 2</w:t>
      </w:r>
    </w:p>
    <w:p>
      <w:r>
        <w:t>Conformément à l' art. 79 LTF , le recours en matière pénale au Tribunal fédéral est irrecevable contre les décisions de la Cour des plaintes du Tribunal pénal fédéral, sauf si elles portent sur des mesures de contrainte.</w:t>
      </w:r>
    </w:p>
    <w:p>
      <w:r>
        <w:t>Tel n'est manifestement pas le cas en l'espèce, dès lors la décision attaquée rejette un recours dirigé contre une ordonnance de non-entrée en matière. Il s'ensuit que le recours est irrecevable quant à son objet, l'absence de voie de droit ordinaire étant au demeurant indiquée sans ambiguïté au pied de la décision attaquée.</w:t>
      </w:r>
    </w:p>
    <w:p>
      <w:r>
        <w:rPr>
          <w:b/>
        </w:rPr>
        <w:t>E. 3</w:t>
      </w:r>
    </w:p>
    <w:p>
      <w:r>
        <w:t>Au vu de ce qui précède, le recours doit être déclaré irrecevable selon la procédure simplifiée prévue par l' art. 108 al. 1 let. a LTF . Le présent arrêt est exceptionnellement rendu sans frais (art. 66 al. 1, 2</w:t>
      </w:r>
    </w:p>
    <w:p>
      <w:r>
        <w:t>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