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403/2008 vom 24. November 2008</w:t>
      </w:r>
    </w:p>
    <w:p>
      <w:r>
        <w:t>Bundesgericht, 2008-11-24, DE</w:t>
      </w:r>
    </w:p>
    <w:p>
      <w:r>
        <w:rPr>
          <w:b/>
        </w:rPr>
        <w:t xml:space="preserve">Quelle: </w:t>
      </w:r>
      <w:r>
        <w:t>https://mcp.opencaselaw.ch/entscheid/bger_6B_403_2008</w:t>
      </w:r>
    </w:p>
    <w:p>
      <w:r>
        <w:t>FR: TF 6B 403/2008 du 24 novembre 2008</w:t>
      </w:r>
    </w:p>
    <w:p>
      <w:r>
        <w:t>IT: TF 6B 403/2008 del 24 novembre 2008</w:t>
      </w:r>
    </w:p>
    <w:p>
      <w:pPr>
        <w:pStyle w:val="Heading2"/>
      </w:pPr>
      <w:r>
        <w:t>Regeste</w:t>
      </w:r>
    </w:p>
    <w:p>
      <w:r>
        <w:t>Betrug; Einziehung | Straftaten</w:t>
      </w:r>
    </w:p>
    <w:p>
      <w:pPr>
        <w:pStyle w:val="Heading2"/>
      </w:pPr>
      <w:r>
        <w:t>Erwägungen</w:t>
      </w:r>
    </w:p>
    <w:p>
      <w:r>
        <w:rPr>
          <w:b/>
        </w:rPr>
        <w:t>E. 1</w:t>
      </w:r>
    </w:p>
    <w:p>
      <w:r>
        <w:t>Gemäss Art. 81 Abs. 1 BGG ist zur Beschwerde in Strafsachen berechtigt, wer a) vor der Vorinstanz am Verfahren teilgenommen oder keine Möglichkeit zur Teilnahme erhalten hat; und b) ein rechtlich geschütztes Interesse an der Aufhebung oder Änderung des angefochtenen Entscheids hat, insbesondere die in Ziff. 1-6 genannten Personen. Die Beschwerdeführerin hat am vorinstanzlichen Verfahren als Geschädigte teilgenommen. Sie fällt indessen unter keine der in Art. 81 Abs. 1 lit. b Ziff. 1-6 BGG ausdrücklich genannten Beschwerdeberechtigten, namentlich ist sie nicht Opfer im Sinne von Art. 2 Abs. 1 des Opferhilfegesetzes bzw. Art. 81 Abs. 1 lit. b Ziff. 5 BGG. Es stellt sich daher die Frage, ob sie ein rechtlich geschütztes Interesse an der Aufhebung oder Änderung des angefochtenen Entscheids hat. Die Liste gemäss Art. 81 Abs. 1 lit. b BGG ist, wie sich aus dem Wort "insbesondere" ergibt, nicht abschliessend ( BGE 133 IV 228 E. 2.3 S. 230 mit Hinweis). Nach der Rechtsprechung ist der Geschädigte, dem keine Opferstellung zukommt, zur Beschwerde in Strafsachen nicht legitimiert, soweit es um den staatlichen Strafanspruch geht. Dieser steht dem Staat zu. Der Geschädigte hat an der Bestrafung des Täters nur ein tatsächliches und kein rechtlich geschütztes Interesse ( BGE 133 IV 228 E. 2). Soweit sich die Beschwerde gegen den Freispruch wegen Betrugs ( Art. 146 StGB ) und somit gegen den Strafpunkt richtet, ist deshalb auf die Beschwerde nicht einzutreten. Hingegen ist das rechtlich geschützte Interesse und damit die Beschwerdelegitimation der Beschwerdeführerin zu bejahen, soweit sie die Herausgabe der beschlagnahmten Vermögenswerte in Anwendung von Art. 70 Abs. 1 StGB beantragt. Diese Bestimmungen - in ähnlicher Weise auch Art. 73 Abs. 1 StGB - gewähren den Geschädigten, sofern die darin genannten Voraussetzungen erfüllt sind, ein Recht auf Zusprechung eingezogener Vermögenswerte (vgl. BGE 130 IV 143 E. 3.3.2 S. 150 mit Hinweis).</w:t>
      </w:r>
    </w:p>
    <w:p>
      <w:r>
        <w:rPr>
          <w:b/>
        </w:rPr>
        <w:t>E. 2</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Gemäss Absatz 2 ist die Einziehung ausgeschlossen, wenn ein Dritter die Vermögenswerte in Unkenntnis der Einziehungsgründe erworben hat und soweit er für sie eine gleichwertige Gegenleistung erbracht hat oder die Einziehung ihm gegenüber sonst eine unverhältnismässige Härte darstellen würde.</w:t>
      </w:r>
    </w:p>
    <w:p>
      <w:r>
        <w:rPr>
          <w:b/>
        </w:rPr>
        <w:t>E. 2.1</w:t>
      </w:r>
    </w:p>
    <w:p>
      <w:r>
        <w:t>Die Vorinstanz hält für unbestritten, dass die D.________ das beschlagnahmte Geld auf das Konto überwies. Dieses Guthaben habe jedoch auch der Z.________ AG (nachfolgend Z.________) als Sicherheit für ein Darlehen gedient, weshalb streitig sei, wer das Guthaben vorab beanspruchen dürfe. Die Z.________ habe am 30. September 2002 mit der Beschwerdegegnerin 1 einen Darlehens- und einen Pfanderrichtungsvertrag abgeschlossen und daraufhin das Darlehen über Fr. 300'000.-- überwiesen. Sie habe die Leistung zu einem Zeitpunkt erbracht, als sie noch gutgläubig gewesen sei. Folglich sei sie Pfandgläubigerin über das entsprechende Guthaben geworden. Deshalb sei unerheblich, dass die Z.________ die Verrechnung erst erklärte, als der Untersuchungsrichter am 29. Dezember 2003 die Beschlagnahme verfügte. Sie habe den Vermögenswert in Unkenntnis der Einziehungsgründe "erworben" und habe dafür eine geldwerte Gegenleistung erbracht ( Art. 70 Abs. 2 StGB ). Demgemäss sei das Guthaben der Z.________ zuzuweisen (angefochtenes Urteil E. 8 S. 44 ff.).</w:t>
      </w:r>
    </w:p>
    <w:p>
      <w:r>
        <w:rPr>
          <w:b/>
        </w:rPr>
        <w:t>E. 2.2</w:t>
      </w:r>
    </w:p>
    <w:p>
      <w:r>
        <w:t>Die Beschwerdeführerin bringt dagegen vor, nach dem klaren Wortlaut des Gesetzes seien die Vermögenswerte auch im Fall eines gutgläubigen Dritterwerbs an den Verletzten herauszugeben, weil in Art. 70 Abs. 2 StGB nur die Einziehung und nicht die Herausgabe an den Verletzten, welche der Einziehung vorgehe, geregelt sei. Die Vorinstanz bejahe die Frage, ob die Z.________ das Guthaben erworben habe, gestützt auf einen Teil der Doktrin. Die bundesgerichtliche Rechtsprechung verlange jedoch eine Verrechnungserklärung in Unkenntnis der Einziehungsgründe. In casu sei die Verrechnungserklärung der Z.________ erst nach der Beschlagnahme erfolgt.</w:t>
      </w:r>
    </w:p>
    <w:p>
      <w:r>
        <w:rPr>
          <w:b/>
        </w:rPr>
        <w:t>E. 2.3</w:t>
      </w:r>
    </w:p>
    <w:p>
      <w:r>
        <w:t>Die Beschwerdeführerin verweist auf den Entscheid des Bundesgerichts 6S.482/2002 vom 9. Januar 2004. Das Bundesgericht befasste sich damals mit der Frage, ob der gute Glaube nur im Zeitpunkt des Erwerbs des deliktischen Vermögens oder aber auch im Zeitpunkt der Erbringung der Gegenleistung vorliegen müsse. Es entschied, dass die Einziehung nur ausscheide, wenn auch die Gegenleistung in gutem Glauben erbracht worden sei. Die Verrechnungserklärung sei nach der Beschlagnahme und somit in Kenntnis der Einziehungsgründe erfolgt, weshalb die Einziehung nicht ausgeschlossen sei. Im Sinne dieser Rechtsprechung ist der Beschwerdeführerin insoweit beizustimmen, dass die Bank nicht bereits bei Eröffnung eines Bankkontos das entsprechende Guthaben erwirbt. Im vorliegenden Fall hat die Z.________ jedoch mit der Beschwerdegegnerin 1 bereits vor Beschlagnahme des Guthabens einen Pfanderrichtungsvertrag abgeschlossen und damit ein von Art. 70 Abs. 2 StGB erfasstes beschränkt dingliches Recht erworben. Aus dem gleichen Grund erweist sich der Einwand der Beschwerdeführerin, die Vermögenswerte seien auch im Fall eines gutgläubigen Dritterwerbs an den Verletzten herauszugeben, als unbehelflich. Im Konflikt zwischen den Rechten des Geschädigten und jenen des geschützten Dritterwerbers gelangen die Regeln des Zivilrechts zur Anwendung (vgl. Florian Baumann, Basler Kommentar Strafrecht I, 2. Aufl. 2007, Art. 70 StGB N. 43 mit Hinweisen). Demnach hat die Vorinstanz das Guthaben zu Recht der Z.________ als Pfandgläubigerin zugewiesen.</w:t>
      </w:r>
    </w:p>
    <w:p>
      <w:r>
        <w:rPr>
          <w:b/>
        </w:rPr>
        <w:t>E. 3</w:t>
      </w:r>
    </w:p>
    <w:p>
      <w:r>
        <w:t>Nach dem Gesagten ist die Beschwerde abzuweisen, soweit darauf einzutreten ist.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