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6B_402/2023 vom 5. Juni 2024</w:t>
      </w:r>
    </w:p>
    <w:p>
      <w:r>
        <w:t>Bundesgericht, 2024-06-05, FR</w:t>
      </w:r>
    </w:p>
    <w:p>
      <w:r>
        <w:rPr>
          <w:b/>
        </w:rPr>
        <w:t xml:space="preserve">Quelle: </w:t>
      </w:r>
      <w:r>
        <w:t>https://mcp.opencaselaw.ch/entscheid/bger_6B_402_2023</w:t>
      </w:r>
    </w:p>
    <w:p>
      <w:r>
        <w:t>FR: TF 6B_402/2023 du 5 juin 2024</w:t>
      </w:r>
    </w:p>
    <w:p>
      <w:r>
        <w:t>IT: TF 6B_402/2023 del 5 giugno 2024</w:t>
      </w:r>
    </w:p>
    <w:p>
      <w:pPr>
        <w:pStyle w:val="Heading2"/>
      </w:pPr>
      <w:r>
        <w:t>Erwägungen</w:t>
      </w:r>
    </w:p>
    <w:p>
      <w:r>
        <w:rPr>
          <w:b/>
        </w:rPr>
        <w:t>E. 1</w:t>
      </w:r>
    </w:p>
    <w:p>
      <w:r>
        <w:t>Le recourant soutient que la cour cantonale aurait établi les faits de façon manifestement inexacte.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w:t>
      </w:r>
    </w:p>
    <w:p>
      <w:r>
        <w:t>Le recourant reproche à la cour cantonale d'avoir considéré que les autorités n'avaient pas été informées de la manifestation du 14 décembre 2019. Selon lui, la date, l'heure, le lieu (soit "</w:t>
      </w:r>
    </w:p>
    <w:p>
      <w:r>
        <w:t>la Place Saint-François ") et le programme de cette manifestation étaient préalablement connus des autorités. La seule raison ayant motivé le déplacement de la manifestation à la rue Centrale consistait en le blocage par les forces de l'ordre de la place Saint-François.</w:t>
      </w:r>
    </w:p>
    <w:p>
      <w:r>
        <w:t>Quoi qu'en dise le recourant, et indépendamment de la proximité entre la place Saint-François et la rue Centrale, il n'est pas contesté que la manifestation du 14 décembre 2019 ne s'est pas tenue au lieu initialement annoncé, du moins pas dans son intégralité. Pour cause, il s'agissait initialement - de l'aveu même du recourant - de "</w:t>
      </w:r>
    </w:p>
    <w:p>
      <w:r>
        <w:t>inaugurer la nouvelle zone piétonne de Saint-François ". En cela déjà, on ne voit pas que la cour cantonale aurait fait preuve d'arbitraire en considérant que les autorités n'ont pas pu prendre les mesures préventives imposées par les circonstances, compte tenu justement des changements de dernière minute motivés par la volonté de mener une action choc, respectivement de l'absence de précisions quant à la durée et aux itinéraires prévus de la manifestation.</w:t>
      </w:r>
    </w:p>
    <w:p>
      <w:r>
        <w:t>Il est encore précisé que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w:t>
      </w:r>
    </w:p>
    <w:p>
      <w:r>
        <w:t>Frumkin c. Russie du 5 janvier 2016, § 96;</w:t>
      </w:r>
    </w:p>
    <w:p>
      <w:r>
        <w:t>Kudrevicius et autres , § 159 et les nombreuses références citées). Or les manifestations en question n'étaient pas autorisées,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du recourant est également irrecevable à défaut pour celui-ci d'avoir démontré en quoi l'élément supposément omis par la cour cantonale (i.e. la connaissance par les autorités de la tenue de la manifestation et de ses modalités) seraient propres à modifier le jugement attaqué.</w:t>
      </w:r>
    </w:p>
    <w:p>
      <w:r>
        <w:rPr>
          <w:b/>
        </w:rPr>
        <w:t>E. 1.3</w:t>
      </w:r>
    </w:p>
    <w:p>
      <w:r>
        <w:t>Le recourant reproche également à la cour cantonale d'avoir considéré que la police avait fait preuve de tolérance. Selon lui, l'intervention "immédiate" des forces de l'ordre lors de la manifestation du 14 décembre 2019 démontrerait le contraire.</w:t>
      </w:r>
    </w:p>
    <w:p>
      <w:r>
        <w:t>Si la cour cantonale a bien relevé que les forces de l'ordre avaient fait preuve d'une "</w:t>
      </w:r>
    </w:p>
    <w:p>
      <w:r>
        <w:t>certaine tolérance " (jugement attaqué consid. 4.2), elle a précisé qu'elles n'étaient intervenues qu'après plusieurs heures d'occupation en vaines incitations à partir sous peine de sanctions, en référence au rapport du 16 décembre 2019. En se contentant de qualifier "d'immédiate" la réaction policière, le recourant échoue à démontrer par une motivation conforme aux exigences accrues prévues par l' art. 106 al. 2 LTF en quoi la cour cantonale aurait fait preuve d'arbitraire sur ce point, et par extension, sur celui de la "</w:t>
      </w:r>
    </w:p>
    <w:p>
      <w:r>
        <w:t>certaine tolérance ". Le grief est irrecevable.</w:t>
      </w:r>
    </w:p>
    <w:p>
      <w:r>
        <w:rPr>
          <w:b/>
        </w:rPr>
        <w:t>E. 2</w:t>
      </w:r>
    </w:p>
    <w:p>
      <w:r>
        <w:t>Le recourant conteste sa condamnation pour entrave aux services d'intérêt général. Dans ce contexte, il soutient qu'une partie des faits reprochés, soit d'avoir entravé le trafic des véhicules et des véhicules d'urgence, serait sans rapport avec l' art. 239 CP (cf.</w:t>
      </w:r>
    </w:p>
    <w:p>
      <w:r>
        <w:t>infra consid. 2.3), mais également que l'intensité minimale que doit revêtir l'entrave n'est pas suffisamment étayée en l'espèce (cf.</w:t>
      </w:r>
    </w:p>
    <w:p>
      <w:r>
        <w:t>infra consid. 2.4).</w:t>
      </w:r>
    </w:p>
    <w:p>
      <w:r>
        <w:rPr>
          <w:b/>
        </w:rPr>
        <w:t>E. 2.1.1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2.1.2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no 7</w:t>
      </w:r>
    </w:p>
    <w:p>
      <w:r>
        <w:t>ad</w:t>
      </w:r>
    </w:p>
    <w:p>
      <w:r>
        <w:t>art. 239 CP ; GERHARD FIOLKA, in Basler Kommentar, Strafrecht II, 4e éd. 2019, no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no 6; GERHARD FIOLKA,</w:t>
      </w:r>
    </w:p>
    <w:p>
      <w:r>
        <w:t>op. cit. , no 9; MICHEL DUPUIS ET AL., Petit Commentaire du Code pénal, 2e éd. 2017, no 5</w:t>
      </w:r>
    </w:p>
    <w:p>
      <w:r>
        <w:t>ad</w:t>
      </w:r>
    </w:p>
    <w:p>
      <w:r>
        <w:t>art. 239 CP ).</w:t>
      </w:r>
    </w:p>
    <w:p>
      <w:r>
        <w:rPr>
          <w:b/>
        </w:rPr>
        <w:t>E. 2.1.3</w:t>
      </w:r>
    </w:p>
    <w:p>
      <w:r>
        <w:t>Constitue une entreprise publique de transport, celle qui est à la disposition de chacun pour le transport des personnes ou des choses (BERNARD CORBOZ, Les infractions en droit suisse, 3e éd. 2010, no 6</w:t>
      </w:r>
    </w:p>
    <w:p>
      <w:r>
        <w:t>ad</w:t>
      </w:r>
    </w:p>
    <w:p>
      <w:r>
        <w:t>art. 239 CP ; MICHEL DUPUIS ET AL.,</w:t>
      </w:r>
    </w:p>
    <w:p>
      <w:r>
        <w:t>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no 9; GERHARD FIOLKA,</w:t>
      </w:r>
    </w:p>
    <w:p>
      <w:r>
        <w:t>op. cit. , no 7; MICHEL DUPUIS ET AL.,</w:t>
      </w:r>
    </w:p>
    <w:p>
      <w:r>
        <w:t>op. cit. , no 5).</w:t>
      </w:r>
    </w:p>
    <w:p>
      <w:r>
        <w:rPr>
          <w:b/>
        </w:rPr>
        <w:t>E. 2.1.4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2.2</w:t>
      </w:r>
    </w:p>
    <w:p>
      <w:r>
        <w:t>Selon le jugement attaqué, il est reproché au recourant:</w:t>
      </w:r>
    </w:p>
    <w:p>
      <w:r>
        <w:t>- le 14 décembre 2019, d'avoir provoqué l'interruption du trafic des TL et des véhicules privés dès 10h05 sur la rue Centrale, ce jusqu'à 16h20 (jugement attaqué consid. 5.2.1);</w:t>
      </w:r>
    </w:p>
    <w:p>
      <w:r>
        <w:t>- le 14 décembre 2019, d'avoir retardé l'intervention d'une ambulance censée intervenir à la rue Centrale.</w:t>
      </w:r>
    </w:p>
    <w:p>
      <w:r>
        <w:t>Il est précisé que la cour cantonale ne retient et/ou discute à l'encontre du recourant aucun fait répréhensible s'agissant de la manifestation du 25 juillet 2019 ou de la partie de la manifestation du 14 décembre 2019 qui s'est déroulée à la place Saint-François, du moins sous l'angle de l' art. 239 CP .</w:t>
      </w:r>
    </w:p>
    <w:p>
      <w:r>
        <w:rPr>
          <w:b/>
        </w:rPr>
        <w:t>E. 2.3</w:t>
      </w:r>
    </w:p>
    <w:p>
      <w:r>
        <w:t>S'il n'est pas contesté ou contestable que la perturbation du service des Transports publics lausannois (ci-après: TL) pourrait tomber sous le coup de l' art. 239 ch. 1 CP , tant il s'agit d'une entreprise publique de transport au sens de cette même disposition, il y a lieu de constater qu'il n'en va pas de même pour la perturbation du trafic des véhicules privés et des véhicules d'urgence, dont l'ambulance intervenue le 14 décembre 2019. Pour cause, à l'aune des critères décrits</w:t>
      </w:r>
    </w:p>
    <w:p>
      <w:r>
        <w:t>supra au consid. 1.1,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2.4</w:t>
      </w:r>
    </w:p>
    <w:p>
      <w:r>
        <w:t>S'agissant de l'intensité de l'entrave aux services d'intérêt général dans le cas d'espèce, force est de constater avec le recourant que le jugement attaqué est lacunaire. En particulier, si le jugement attaqué fait état des retards constatés sur la place Saint-François (fait qui ne sont toutefois pas imputés au recourant), il ne précise pas quelles lignes circulant habituellement sur la rue Centrale auraient été interrompues, combien de bus auraient été concernés, durant combien de temps,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3</w:t>
      </w:r>
    </w:p>
    <w:p>
      <w:r>
        <w:t>Le recourant conteste sa condamnation pour violation simple des règles de la circulation routière. Il estime que les infractions réprimées par les art. 239 CP et 90 al. 1 LCR retenues à sa charge n'entrent pas en concours idéal, l' art. 90 al. 1 LCR étant absorbé par l' art. 239 CP lorsqu'un même acte empêche d'un seul bloc la circulation routière et les services d'intérêt général. Dans la mesure où sa condamnation au titre de l' art. 239 CP fait l'objet d'un renvoi à la cour cantonale (cf.</w:t>
      </w:r>
    </w:p>
    <w:p>
      <w:r>
        <w:t>supra consid. 2), son grief est pour l'heure sans objet.</w:t>
      </w:r>
    </w:p>
    <w:p>
      <w:r>
        <w:rPr>
          <w:b/>
        </w:rPr>
        <w:t>E. 4</w:t>
      </w:r>
    </w:p>
    <w:p>
      <w:r>
        <w:t>Le recourant ne conteste sa condamnation pour empêchement d'accomplir un acte officiel que sous l'angle des art. 7 et 11 CEDH . Il en sera question</w:t>
      </w:r>
    </w:p>
    <w:p>
      <w:r>
        <w:t>infra au consid. 5. Il soulève également de manière sibylline que l'ordre donné en l'espèce par les forces de l'ordre consistant à quitter les lieux serait contraire à l'obligation positive des autorités de prendre des mesures pour permettre et faciliter l'exercice de la liberté de réunion pacifique. D'emblée, il est relevé que cet argumentaire tombe à faux, les obligations positives induites par l' art. 11 CEDH pour les États membres étant limitées aux manifestations autorisées (cf.</w:t>
      </w:r>
    </w:p>
    <w:p>
      <w:r>
        <w:t>supra consid. 1.2 et les références citées).</w:t>
      </w:r>
    </w:p>
    <w:p>
      <w:r>
        <w:rPr>
          <w:b/>
        </w:rPr>
        <w:t>E. 5</w:t>
      </w:r>
    </w:p>
    <w:p>
      <w:r>
        <w:t>Le recourant fait valoir que sa condamnation consacrerait une violation de sa liberté de réunion pacifique ( art. 11 CEDH ) et une violation de sa liberté d'expression ( art. 10 CEDH ).</w:t>
      </w:r>
    </w:p>
    <w:p>
      <w:r>
        <w:t>Si la cour cantonale a bien procédé à l'examen des conditions d'application de l' art. 11 par. 2 CEDH , elle l'a fait alors qu'elle reconnaissait le recourant coupable d'entrave aux services d'intérêt général, de violation simple des règles de la circulation routière et d'empêchement d'accomplir un acte officiel. Une de ces infractions faisant l'objet d'un renvoi (cf.</w:t>
      </w:r>
    </w:p>
    <w:p>
      <w:r>
        <w:t>supra consid. 2 pour l'entrave aux services d'intérêt général) et l'une n'étant pas définitivement confirmée (cf.</w:t>
      </w:r>
    </w:p>
    <w:p>
      <w:r>
        <w:t>supra consid. 3 pour la violation simple des règles de la circulation routière), il incombera à la cour cantonale de se prononcer sur la question une fois qu'elle aura à nouveau déterminé les infractions dont le recourant s'est ou ne s'est pas rendu coupable. Le grief est pour l'heure sans objet, tout comme celui tiré d'une violation de l' art. 52 CP .</w:t>
      </w:r>
    </w:p>
    <w:p>
      <w:r>
        <w:rPr>
          <w:b/>
        </w:rPr>
        <w:t>E. 6</w:t>
      </w:r>
    </w:p>
    <w:p>
      <w:r>
        <w:t>Le recours doit être partiellement admis, le jugement attaqué annulé et la cause renvoyée à la cour cantonale pour nouvelle décision dans le sens des considérants (cf.</w:t>
      </w:r>
    </w:p>
    <w:p>
      <w:r>
        <w:t>supra consid. 2).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 art. 66 al. 1 LTF ). La requête de suspension est sans objet, l'arrêt du Tribunal fédéral dans la cause 6B_1436/2022 ayant déjà été rendu.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