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6B_402/2021 vom 1. Juni 2021</w:t>
      </w:r>
    </w:p>
    <w:p>
      <w:r>
        <w:t>Bundesgericht, 2021-06-01, DE</w:t>
      </w:r>
    </w:p>
    <w:p>
      <w:r>
        <w:rPr>
          <w:b/>
        </w:rPr>
        <w:t xml:space="preserve">Quelle: </w:t>
      </w:r>
      <w:r>
        <w:t>https://mcp.opencaselaw.ch/entscheid/bger_6B_402_2021</w:t>
      </w:r>
    </w:p>
    <w:p>
      <w:r>
        <w:t>FR: TF 6B_402/2021 du 1 juin 2021</w:t>
      </w:r>
    </w:p>
    <w:p>
      <w:r>
        <w:t>IT: TF 6B_402/2021 del 1 giugno 2021</w:t>
      </w:r>
    </w:p>
    <w:p>
      <w:pPr>
        <w:pStyle w:val="Heading2"/>
      </w:pPr>
      <w:r>
        <w:t>Erwägungen</w:t>
      </w:r>
    </w:p>
    <w:p>
      <w:r>
        <w:rPr>
          <w:b/>
        </w:rPr>
        <w:t>E. 1</w:t>
      </w:r>
    </w:p>
    <w:p>
      <w:r>
        <w:t>Der Beschwerdeführer erstattete am 20. Juli 2017 bei der Bundesanwaltschaft gegen drei Personen Strafanzeige wegen falscher Anschuldigungen und konstituierte sich als Privatkläger. Gut drei Jahre nach Anzeigeerstattung ersuchte die Bundesanwaltschaft die Beschwerdegegnerin mit Schreiben vom 27. August 2020 mangels Bundeskompetenz gemäss Art. 23 StPO um Verfahrensübernahme.</w:t>
      </w:r>
    </w:p>
    <w:p>
      <w:r>
        <w:t>Mit Verfügung vom 7. September 2020 übernahm die Beschwerdegegnerin das Strafverfahren (respektive die Bearbeitung der Strafanzeige). Mit Eingabe vom 5. November 2020 dehnte der Beschwerdeführer seine Strafanzeige auf zwei weitere Personen aus. Die Beschwerdegegnerin verfügte am 2. Dezember 2020, kein Strafverfahren an die Hand zu nehmen. Mit "Urteil" vom 4. März 2021 (vgl. Art. 81 Abs. 1 StPO zu den unterschiedlichen Entscheidformen) wies die Vorinstanz die gegen die Nichtanhandnahmeverfügung erhobene Beschwerde ab, soweit sie darauf eintrat.</w:t>
      </w:r>
    </w:p>
    <w:p>
      <w:r>
        <w:t>Der Beschwerdeführer führt Beschwerde in Strafsachen.</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stellt im bundesgerichtlichen Verfahren kein Rechtsbegehren und setzt sich zudem mit den vorinstanzlichen Erwägungen nicht auseinander. Er beschränkt sich darauf, seine persönliche Sichtweise der Umstände und Hintergründe der von ihm als strafbar erachteten Lebenssachverhalte zu schildern und Kritik an den Strafverfolgungsbehörden und kantonalen Gerichten zu äussern.</w:t>
      </w:r>
    </w:p>
    <w:p>
      <w:r>
        <w:rPr>
          <w:b/>
        </w:rPr>
        <w:t>E. 4</w:t>
      </w:r>
    </w:p>
    <w:p>
      <w:r>
        <w:t>Auf die Beschwerden ist im Verfahren nach Art. 108 BGG nicht einzutreten. Die Gerichtskosten sind dem unterliegenden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