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6B_402/2011 vom 8. September 2011</w:t>
      </w:r>
    </w:p>
    <w:p>
      <w:r>
        <w:t>Bundesgericht, 2011-09-08, DE</w:t>
      </w:r>
    </w:p>
    <w:p>
      <w:r>
        <w:rPr>
          <w:b/>
        </w:rPr>
        <w:t xml:space="preserve">Quelle: </w:t>
      </w:r>
      <w:r>
        <w:t>https://mcp.opencaselaw.ch/entscheid/bger_6B_402_2011</w:t>
      </w:r>
    </w:p>
    <w:p>
      <w:r>
        <w:t>FR: TF 6B_402/2011 du 8 septembre 2011</w:t>
      </w:r>
    </w:p>
    <w:p>
      <w:r>
        <w:t>IT: TF 6B_402/2011 del 8 settembre 2011</w:t>
      </w:r>
    </w:p>
    <w:p>
      <w:pPr>
        <w:pStyle w:val="Heading2"/>
      </w:pPr>
      <w:r>
        <w:t>Erwägungen</w:t>
      </w:r>
    </w:p>
    <w:p>
      <w:r>
        <w:rPr>
          <w:b/>
        </w:rPr>
        <w:t>E. 1.1</w:t>
      </w:r>
    </w:p>
    <w:p>
      <w:r>
        <w:t>Die Beschwerdeführerin rügt, es sei von einer günstigen Prognose auszugehen. Eine erhöhte Gefahr der Rückfälligkeit liege angesichts der positiven Bewährungsfaktoren trotz der Vorstrafe nicht vor. Die nicht einschlägige Vorstrafe liege bereits sechs Jahre zurück. Es seien keine Gründe ersichtlich, von der Mindestdauer der Probezeit abzuweichen.</w:t>
      </w:r>
    </w:p>
    <w:p>
      <w:r>
        <w:rPr>
          <w:b/>
        </w:rPr>
        <w:t>E. 1.2</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desto länger muss die Probezeit sein, damit der Verurteilte von weiteren Delikten abgehalten wird. Ihre Dauer muss mit anderen Worten so festgelegt werden, dass sie die grösste Wahrscheinlichkeit zur Verhinderung eines Rückfalls bietet. Die Behörden verfügen in diesem Zusammenhang über einen weiten Ermessensspielraum. In diesen greift das Bundesgericht nur ein, wenn der Richter sein Ermessen in missbräuchlicher Weise überschreitet ( BGE 95 IV 121 E. 1; Urteil 6B_140/2011 vom 17. Mai 2011 E. 7.1 m.w.H.).</w:t>
      </w:r>
    </w:p>
    <w:p>
      <w:r>
        <w:rPr>
          <w:b/>
        </w:rPr>
        <w:t>E. 1.3</w:t>
      </w:r>
    </w:p>
    <w:p>
      <w:r>
        <w:t>Die Beschwerdeführerin wurde am 24. August 2004 vom Bezirksgericht Zürich wegen einfacher Körperverletzung, Raufhandel und Hehlerei zu einer bedingten Gefängnisstrafe von einem Monat verurteilt (kant. Akten, Urk. 21/2). Die Verurteilung wegen Hehlerei betrifft, wie der Diebstahl, eine strafbare Handlung gegen das Vermögen, was die Vorinstanz bei der Festsetzung der Probezeit berücksichtigen durfte.</w:t>
      </w:r>
    </w:p>
    <w:p>
      <w:r>
        <w:t>Das Gericht schiebt den Vollzug einer Geldstrafe in der Regel auf, wenn eine unbedingte Strafe nicht notwendig erscheint, um den Täter von der Begehung weiterer Verbrechen oder Vergehen abzuhalten ( Art. 42 Abs. 1 StGB ). Die Gewährung des Strafaufschubs setzt nicht die positive Erwartung voraus, der Täter werde sich bewähren, sondern es genügt die Abwesenheit der Befürchtung, dass er es nicht tun werde. Der Strafaufschub ist die Regel, von der grundsätzlich nur bei ungünstiger Prognose abgewichen werden darf ( BGE 134 IV 1 E. 4.2.2 mit Hinweisen). Wohl lässt sich nach Auffassung der Vorinstanz die Vermutung der günstigen Prognose nicht widerlegen. Angesichts der Vorstrafe bestehen dennoch gewisse Zweifel am künftigen Wohlverhalten der Beschwerdeführerin, welchen die Vorinstanz bei der Festsetzung der Probezeit Rechnung tragen durfte. Die Probezeit von vier Jahren hält sich noch im Rahmen des vorinstanzlichen Ermessens. Eine Verletzung von Bundesrecht ist zu verneinen.</w:t>
      </w:r>
    </w:p>
    <w:p>
      <w:r>
        <w:rPr>
          <w:b/>
        </w:rPr>
        <w:t>E. 2</w:t>
      </w:r>
    </w:p>
    <w:p>
      <w:r>
        <w:t>Die Beschwerde ist abzuweisen. Das Gesuch um unentgeltliche Rechtspflege und Verbeiständung ist gutzuheissen, da die Beschwerde nicht von vornherein aussichtslos war und die Bedürftigkeit der Beschwerdeführerin erstellt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