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401/2020 vom 13. August 2020</w:t>
      </w:r>
    </w:p>
    <w:p>
      <w:r>
        <w:t>Bundesgericht, 2020-08-13, FR</w:t>
      </w:r>
    </w:p>
    <w:p>
      <w:r>
        <w:rPr>
          <w:b/>
        </w:rPr>
        <w:t xml:space="preserve">Quelle: </w:t>
      </w:r>
      <w:r>
        <w:t>https://mcp.opencaselaw.ch/entscheid/bger_6B_401_2020</w:t>
      </w:r>
    </w:p>
    <w:p>
      <w:r>
        <w:t>FR: TF 6B 401/2020 du 13 août 2020</w:t>
      </w:r>
    </w:p>
    <w:p>
      <w:r>
        <w:t>IT: TF 6B 401/2020 del 13 agosto 2020</w:t>
      </w:r>
    </w:p>
    <w:p>
      <w:pPr>
        <w:pStyle w:val="Heading2"/>
      </w:pPr>
      <w:r>
        <w:t>Regeste</w:t>
      </w:r>
    </w:p>
    <w:p>
      <w:r>
        <w:t>Ordonnance de non-entrée en matière (faux dans les titres, escroquerie, gestion déloyale) | Procédure pénale</w:t>
      </w:r>
    </w:p>
    <w:p>
      <w:pPr>
        <w:pStyle w:val="Heading2"/>
      </w:pPr>
      <w:r>
        <w:t>Erwägungen</w:t>
      </w:r>
    </w:p>
    <w:p>
      <w:r>
        <w:rPr>
          <w:b/>
        </w:rPr>
        <w:t>E. 1</w:t>
      </w:r>
    </w:p>
    <w:p>
      <w:r>
        <w:t>Le Tribunal fédéral examine d'office et librement la recevabilité des recours qui lui sont soumis ( ATF 143 IV 357 consid. 1 p. 358).</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s.).</w:t>
      </w:r>
    </w:p>
    <w:p>
      <w:r>
        <w:rPr>
          <w:b/>
        </w:rPr>
        <w:t>E. 1.1.2</w:t>
      </w:r>
    </w:p>
    <w:p>
      <w:r>
        <w:t>Conformément à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w:t>
      </w:r>
    </w:p>
    <w:p>
      <w:r>
        <w:rPr>
          <w:b/>
        </w:rPr>
        <w:t>E. 1.2.1</w:t>
      </w:r>
    </w:p>
    <w:p>
      <w:r>
        <w:t>L' art. 289 CP punit celui qui soustrait des objets mis sous main de l'autorité. L'objet doit avoir été placé sous le contrôle de l'État. Cette condition est notamment réalisée en cas de séquestre pénal (BERNARD CORBOZ, Les infractions en droit suisse, vol. II, 3e éd., 2010, n° 2 et 3 ad art. 289 CP ; DUPUIS ET AL., n° 5 ad art. 289 CP ). Selon la jurisprudence, celui qui allègue avoir subi un préjudice en raison d'une infraction à la base d'un séquestre (cf. art. 263 al. 1 CPP ) est directement touché dans ses droits si les objets et valeurs séquestrés sont soustraits. Il revêt donc la qualité de lésé pour se plaindre de l'infraction définie à l' art. 289 CP (arrêt 6B_900/2018 du 27 septembre 2019 consid. 2.2.3).</w:t>
      </w:r>
    </w:p>
    <w:p>
      <w:r>
        <w:rPr>
          <w:b/>
        </w:rPr>
        <w:t>E. 1.2.2</w:t>
      </w:r>
    </w:p>
    <w:p>
      <w:r>
        <w:t>En l'espèce, la recourante expose qu'en transférant les fonds permettant l'achat de la villa, le notaire a commis un acte illicite (infraction à l' art. 289 CP ) ayant pour conséquence que le séquestre, qui portait sur des actifs liquides en francs suisses, non périssables, d'un montant déterminé et inaltérable, porte désormais sur la valeur nette (valeur de marché moins hypothèque) d'un immeuble, dont la valeur est soumise aux fluctuations à la baisse du marché actuel et n'est par conséquent aucunement garantie. Son dommage correspond ainsi à la différence entre les 444'252 fr. 24 initialement bloqués et le solde, s'il y en a un, de la vente de l'immeuble, forcée ou non, après le remboursement du prêt à la Banque K.________. Par cette argumentation, la recourante explique suffisamment en quoi consistent ses prétentions civiles, de sorte que la qualité pour recourir doit lui être reconnue.</w:t>
      </w:r>
    </w:p>
    <w:p>
      <w:r>
        <w:rPr>
          <w:b/>
        </w:rPr>
        <w:t>E. 2</w:t>
      </w:r>
    </w:p>
    <w:p>
      <w:r>
        <w:t>La recourante se plaint en outre d'une violation de l' art. 310 CPP en lien avec l' art. 289 CP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6B_1047/2019 du 15 janvier 2020 consid. 3.1).</w:t>
      </w:r>
    </w:p>
    <w:p>
      <w:r>
        <w:rPr>
          <w:b/>
        </w:rPr>
        <w:t>E. 2.2</w:t>
      </w:r>
    </w:p>
    <w:p>
      <w:r>
        <w:t>L' art. 289 CP punit celui qui soustrait des objets sous main de l'autorité. L'objet ou le droit est sous main de l'autorité si la libre disposition en a été retirée par une mesure de contrainte et s'il se trouve placé sous le contrôle de l'État. Cette condition est notamment réalisée en cas de séquestre pénal. Le comportement punissable consiste à déjouer totalement ou partiellement, durablement ou provisoirement, la mainmise de l'autorité par n'importe quel moyen. L'infraction est intentionnelle, le dol éventuel étant suffisant. Si l'auteur croit (à tort) que le fonctionnaire compétent a autorisé l'acte de disposition sur l'objet saisi, il n'agit pas intentionnellement (arrêt 6B_750/2012 du 12 novembre 2013, consid. 3.2, non publié in ATF 140 IV 11 ).</w:t>
      </w:r>
    </w:p>
    <w:p>
      <w:r>
        <w:rPr>
          <w:b/>
        </w:rPr>
        <w:t>E. 2.3</w:t>
      </w:r>
    </w:p>
    <w:p>
      <w:r>
        <w:t>En l'espèce, la cour cantonale a retenu que le notaire n'avait pas violé l'ordonnance du 30 janvier 2017 en transférant, le 31 janvier 2017, les fonds reçus sur son compte au vendeur de la villa. En effet, pour la cour cantonale, le but poursuivi par l'ordonnance du 30 janvier 2017 était de permettre au notaire de mener à bien l'opération immobilière en cours afin de séquestrer, dans un second temps, une part de l'immeuble ainsi acquis par le prévenu et sa femme. La cour cantonale a fondé son interprétation sur le libellé de la décision - " ordonnance de modification de l'objet d'un séquestre ( art. 266 al. 2 CPP " - mais aussi sur les motifs de celle-ci.</w:t>
      </w:r>
    </w:p>
    <w:p>
      <w:r>
        <w:rPr>
          <w:b/>
        </w:rPr>
        <w:t>E. 2.4</w:t>
      </w:r>
    </w:p>
    <w:p>
      <w:r>
        <w:t>La recourante conteste cette interprétation. Elle se fonde uniquement sur le dispositif de l'ordonnance du 30 janvier 2017. Par ce dispositif, le ministère public ordonne le transfert immédiat et la saisie sur le compte "fonds-clients" du notaire de la somme de 444'252 fr., par le débit de cinq comptes bloqués, détenus par C.C.________ ou G.C.________. D'après la recourante, cette ordonnance n'autorisait donc pas le notaire à transférer les avoirs séquestrés de son compte " fonds-clients " au vendeur de la villa; seule une deuxième ordonnance levant le séquestre des fonds bloqués sur le compte " fonds-clients " du notaire et ordonnant le transfert en faveur du vendeur de la villa, aurait pu justifier l'acte du notaire. La recourante relève en outre que ce n'est qu'a posteriori que le ministère public a rendu son ordonnance du 2 février 2017, par laquelle il a ordonné le séquestre de la villa.</w:t>
      </w:r>
    </w:p>
    <w:p>
      <w:r>
        <w:rPr>
          <w:b/>
        </w:rPr>
        <w:t>E. 2.5</w:t>
      </w:r>
    </w:p>
    <w:p>
      <w:r>
        <w:t>L'interprétation de la cour cantonale ne prête pas le flanc à la critique. Dans l'ordonnance litigieuse, le ministère public rappelle, d'abord, la requête du prévenu tendant au transfert de 444'252 fr., séquestrés, sur le compte du notaire, pour finaliser la vente de la villa en indiquant les comptes séquestrés pouvant servir à ce transfert. Il expose ensuite les craintes de la recourante que la valeur de la villa en question ne puisse, une fois l'hypothèque de la Banque K.________ payée, équivaloir celle des montants séquestrés aujourd'hui sur les comptes bancaires, par exemple en cas de baisse du marché, de vente forcée, etc. Il explique que ces craintes ne sont toutefois pas fondées. En effet, retenant que la villa (sans les plus-values) a une valeur de 1'265'000 fr., et déduisant le montant de l'hypothèque (670'000 fr.), il aboutit à un total de 595'000 fr., montant supérieur à celui dont le déblocage est demandé et qui s'élève à 437'861 fr. 30. Il conclut ainsi qu'il respecte son obligation de maintenir la substance des valeurs séquestrées ( art. 266 al. 2 CPP ). Compte tenu de ces explications et vu que la vente devait impérativement avoir lieu le 31 janvier 2017, le notaire à qui l'ordonnance avait été communiquée le 30 janvier 2017 ne pouvait que la comprendre comme l'autorisant à transférer au vendeur de la villa les valeurs reçues sur son compte " fonds-clients ". La cour cantonale n'a donc pas violé le droit fédéral en considérant qu'il n'existait pas de prévention pénale d'infraction à l' art. 289 CP .</w:t>
      </w:r>
    </w:p>
    <w:p>
      <w:r>
        <w:rPr>
          <w:b/>
        </w:rPr>
        <w:t>E. 3</w:t>
      </w:r>
    </w:p>
    <w:p>
      <w:r>
        <w:t>Le recours doit être rejeté. Succombant, la recourante devra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