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401/2007 vom 21. August 2007</w:t>
      </w:r>
    </w:p>
    <w:p>
      <w:r>
        <w:t>Bundesgericht, 2007-08-21, DE</w:t>
      </w:r>
    </w:p>
    <w:p>
      <w:r>
        <w:rPr>
          <w:b/>
        </w:rPr>
        <w:t xml:space="preserve">Quelle: </w:t>
      </w:r>
      <w:r>
        <w:t>https://mcp.opencaselaw.ch/entscheid/bger_6B_401_2007</w:t>
      </w:r>
    </w:p>
    <w:p>
      <w:r>
        <w:t>FR: TF 6B 401/2007 du 21 août 2007</w:t>
      </w:r>
    </w:p>
    <w:p>
      <w:r>
        <w:t>IT: TF 6B 401/2007 del 21 agosto 2007</w:t>
      </w:r>
    </w:p>
    <w:p>
      <w:pPr>
        <w:pStyle w:val="Heading2"/>
      </w:pPr>
      <w:r>
        <w:t>Regeste</w:t>
      </w:r>
    </w:p>
    <w:p>
      <w:r>
        <w:t>Vorsätzliche Tötung; Strafzumessung | Strafrecht (allgemein)</w:t>
      </w:r>
    </w:p>
    <w:p>
      <w:pPr>
        <w:pStyle w:val="Heading2"/>
      </w:pPr>
      <w:r>
        <w:t>Erwägungen</w:t>
      </w:r>
    </w:p>
    <w:p>
      <w:r>
        <w:rPr>
          <w:b/>
        </w:rPr>
        <w:t>E. 1</w:t>
      </w:r>
    </w:p>
    <w:p>
      <w:r>
        <w:t>Mit Urteil vom 18. Juni 2007 bestrafte die II. Strafkammer des Obergerichts des Kantons Zürich X.________ wegen vorsätzlicher Tötung mit 5 ¼ Jahren Freiheitsstrafe. Der Präsident verfügte am 15. August 2007, X.________ sei per 24. August 2007 aus der Haft zu entlassen. Gegen beide Entscheide wendet sich die Oberstaatsanwaltschaft des Kantons Zürich mit Beschwerde in Strafsachen ans Bundesgericht.</w:t>
      </w:r>
    </w:p>
    <w:p>
      <w:r>
        <w:rPr>
          <w:b/>
        </w:rPr>
        <w:t>E. 2</w:t>
      </w:r>
    </w:p>
    <w:p>
      <w:r>
        <w:t>Der Beschwerdegegner stellt mit Eingabe vom 19. August 2007 ein Gesuch um unentgeltliche Rechtspflege und Verbeiständung. Er ist bedürftig, und die Beigabe eines unentgeltlichen Rechtsbeistandes erscheint als notwendig. Das Gesuch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