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6B_400/2022 vom 18. Mai 2022</w:t>
      </w:r>
    </w:p>
    <w:p>
      <w:r>
        <w:t>Bundesgericht, 2022-05-18, FR</w:t>
      </w:r>
    </w:p>
    <w:p>
      <w:r>
        <w:rPr>
          <w:b/>
        </w:rPr>
        <w:t xml:space="preserve">Quelle: </w:t>
      </w:r>
      <w:r>
        <w:t>https://mcp.opencaselaw.ch/entscheid/bger_6B_400_2022</w:t>
      </w:r>
    </w:p>
    <w:p>
      <w:r>
        <w:t>FR: TF 6B_400/2022 du 18 mai 2022</w:t>
      </w:r>
    </w:p>
    <w:p>
      <w:r>
        <w:t>IT: TF 6B_400/2022 del 18 maggio 2022</w:t>
      </w:r>
    </w:p>
    <w:p>
      <w:pPr>
        <w:pStyle w:val="Heading2"/>
      </w:pPr>
      <w:r>
        <w:t>Erwägungen</w:t>
      </w:r>
    </w:p>
    <w:p>
      <w:r>
        <w:rPr>
          <w:b/>
        </w:rPr>
        <w:t>E. 1</w:t>
      </w:r>
    </w:p>
    <w:p>
      <w:r>
        <w:t>Par arrêt du 2 mars 2022, la Chambre pénale d'appel et de révision de la Cour de justice de la République et canton de Genève a déclaré irrecevable la demande de révision formée par A.________ contre l'ordonnance pénale rendue le 16 août 2021 par le Service des contraventions genevois condamnant le prénommé pour infraction à l'obligation de porter le masque (au sens des art. 13 let . f cum 3a al. 1, 3b al. 1, 2 et 2biset 6b al. 4 de l'ordonnance du 19 juin 2020 sur les mesures destinées à lutter contre l'épidémie de COVID-19 en situation particulière) et pour refus d'obtempérer à une injonction d'un membre de la police (au sens de l'art. 11F de la loi pénale genevoise) à une amende de 400 fr. ainsi qu'à 100 fr. d'émolument.</w:t>
      </w:r>
    </w:p>
    <w:p>
      <w:r>
        <w:t>La cour cantonale a en substance considéré que A.________ n'avait pas fait valoir des faits ou des moyens de preuves nouveaux susceptibles de fonder une révision au sens de l' art. 410 al. 1 let. a CPP .</w:t>
      </w:r>
    </w:p>
    <w:p>
      <w:r>
        <w:t>A.________ forme un recours en matière pénale au Tribunal fédéral contre l'arrêt du 2 mars 2022, concluant, en substance, à ce que sa cause au fond soit réexaminée.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p. 336).</w:t>
      </w:r>
    </w:p>
    <w:p>
      <w:r>
        <w:t>En l'espèce, le recourant rediscute essentiellement les faits à l'origine de la condamnation prononcée à son encontre. Ce faisant, il discute uniquement le fond du litige, ce qu'il n'est pas autorisé à faire, sans aucunement contester le caractère irrecevable de sa demande de révision. Il ne critique d'ailleurs pas l'appréciation de la cour cantonale et c'est donc en vain que l'on cherche, sur la question de l'irrecevabilité de la demande de révision, une motivation topique permettant de saisir en quoi l'autorité précédente aurait pu violer le droit.</w:t>
      </w:r>
    </w:p>
    <w:p>
      <w:r>
        <w:rPr>
          <w:b/>
        </w:rPr>
        <w:t>E. 3</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