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3/2020 vom 15. September 2020</w:t>
      </w:r>
    </w:p>
    <w:p>
      <w:r>
        <w:t>Bundesgericht, 2020-09-15, FR</w:t>
      </w:r>
    </w:p>
    <w:p>
      <w:r>
        <w:rPr>
          <w:b/>
        </w:rPr>
        <w:t xml:space="preserve">Quelle: </w:t>
      </w:r>
      <w:r>
        <w:t>https://mcp.opencaselaw.ch/entscheid/bger_6B_3_2020</w:t>
      </w:r>
    </w:p>
    <w:p>
      <w:r>
        <w:t>FR: TF 6B 3/2020 du 15 septembre 2020</w:t>
      </w:r>
    </w:p>
    <w:p>
      <w:r>
        <w:t>IT: TF 6B 3/2020 del 15 settembre 2020</w:t>
      </w:r>
    </w:p>
    <w:p>
      <w:pPr>
        <w:pStyle w:val="Heading2"/>
      </w:pPr>
      <w:r>
        <w:t>Regeste</w:t>
      </w:r>
    </w:p>
    <w:p>
      <w:r>
        <w:t>Ordonnance de non-entrée en matière ; assistance judiciaire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En l'occurrence, les recourants ne disent mot concernant d'éventuelles prétentions civiles qu'ils pourraient déduire de l'infraction, respectivement des infractions dont ils se plaignent. Les intéressés n'ont dès lors pas qualité pour recourir sur le fond de la cause au Tribunal fédéral, au regard de l'art. 81 al. 1 let. b ch. 5 LTF.</w:t>
      </w:r>
    </w:p>
    <w:p>
      <w:r>
        <w:rPr>
          <w:b/>
        </w:rPr>
        <w:t>E. 1.3</w:t>
      </w:r>
    </w:p>
    <w:p>
      <w:r>
        <w:t>L'hypothèse visée à l'art. 81 al. 1 let. b ch. 6 LTF n'entre pas en considération, les recourants ne soulevant aucun grief quant à leur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Les recourants soutiennent que l'autorité précédente aurait "admis", sur la base de "l'état de faits retenus", qu'une infraction de menaces (cf. art. 180 CP ) avait été commise par C.A.________. Ils ajoutent que, dès lors que les menaces proférées par le prénommé auraient constitué un moyen de pression pour faire adopter à l'un d'eux un certain comportement, une infraction de contrainte (cf. art. 181 CP ) aurait été réalisée. On peine à saisir ce que les recourants entendent déduire d'une telle argumentation. Pour autant que celle-ci doive être comprise comme un reproche, adressé à la cour cantonale, de ne pas avoir expliqué pour quels motifs une infraction de contrainte ne pouvait être envisagée en l'occurrence, force est de constater que le grief ne répond aucunement aux exigences de motivation déduites des art. 42 al. 2 et 106 al. 2 LTF. Quoi qu'il en soit, l'autorité précédente n'avait pas à motiver la confirmation d'un refus d'entrer en matière concernant une éventuelle infraction de contrainte. En effet, contrairement à ce qu'affirment les recourants, la cour cantonale n'a pas constaté la commission d'une infraction de menaces, mais a seulement indiqué - sur le plan de la recevabilité du recours cantonal - que la qualité de lésé pouvait être reconnue aux intéressés en lien avec une telle infraction, puisque ceux-ci avaient pu se sentir menacés par l'attitude de C.A.________. Pour le reste, l'autorité précédente a relevé que le prénommé avait demandé à son frère de lui "rendre service" en le tuant, sans aucunement tenter de le contraindre à réaliser un tel acte. Une infraction de tentative de contrainte, qui eût - cas échéant - été poursuivie d'office, n'entrait donc manifestement pas en ligne de compte, de sorte que l'on ne saurait reprocher à l'autorité précédente de ne pas avoir abordé cette question dans l'arrêt attaqué. Pour le reste, les recourants affirment que C.A.________ aurait commis une "instigation au meurtre". Or, comme l'a relevé à bon droit la cour cantonale, si l'un ou l'autre des recourants avait cédé aux suppliques du prénommé, il ou elle aurait été auteur - et non victime - d'une infraction contre l'intégrité corporelle.</w:t>
      </w:r>
    </w:p>
    <w:p>
      <w:r>
        <w:rPr>
          <w:b/>
        </w:rPr>
        <w:t>E. 2</w:t>
      </w:r>
    </w:p>
    <w:p>
      <w:r>
        <w:t>Les recourants reprochent enfin à la cour cantonale de leur avoir refusé le bénéfice de l'assistance judiciaire. Ils ne présentent cependant aucune argumentation recevable - répondant aux exigences de motivation découlant de l' art. 42 al. 2 LTF - sur ce point. Les intéressés se bornent à soutenir que les conditions de l' art. 136 CPP auraient été remplies dans la mesure où "la qualification juridique des actes commis est erronée". Or, comme vu précédemment (cf. consid. 1.4 supra), c'est en vain que les recourants ont reproché à l'autorité précédente de ne pas avoir envisagé la commission d'une infraction de contrainte, respectivement d'instigation au meurtre.</w:t>
      </w:r>
    </w:p>
    <w:p>
      <w:r>
        <w:rPr>
          <w:b/>
        </w:rPr>
        <w:t>E. 3</w:t>
      </w:r>
    </w:p>
    <w:p>
      <w:r>
        <w:t>Le recours doit être rejeté dans la mesure où il est recevable. Il était d'emblée dénué de chance de succès. L'assistance judiciaire doit être refusée ( art. 64 al. 1 LTF ). Les recourants, qui succombent, supportent les frais judiciaires, qui seront fixés en tenant compte de leur situation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