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6B_3/2013 vom 25. Februar 2013</w:t>
      </w:r>
    </w:p>
    <w:p>
      <w:r>
        <w:t>Bundesgericht, 2013-02-25, DE</w:t>
      </w:r>
    </w:p>
    <w:p>
      <w:r>
        <w:rPr>
          <w:b/>
        </w:rPr>
        <w:t xml:space="preserve">Quelle: </w:t>
      </w:r>
      <w:r>
        <w:t>https://mcp.opencaselaw.ch/entscheid/bger_6B_3_2013</w:t>
      </w:r>
    </w:p>
    <w:p>
      <w:r>
        <w:t>FR: TF 6B_3/2013 du 25 février 2013</w:t>
      </w:r>
    </w:p>
    <w:p>
      <w:r>
        <w:t>IT: TF 6B_3/2013 del 25 febbraio 2013</w:t>
      </w:r>
    </w:p>
    <w:p>
      <w:pPr>
        <w:pStyle w:val="Heading2"/>
      </w:pPr>
      <w:r>
        <w:t>Erwägungen</w:t>
      </w:r>
    </w:p>
    <w:p>
      <w:r>
        <w:rPr>
          <w:b/>
        </w:rPr>
        <w:t>E. 1.1</w:t>
      </w:r>
    </w:p>
    <w:p>
      <w:r>
        <w:t>Der angefochtene Entscheid betrifft eine Strafsache im Sinne von Art. 78 Abs. 1 BGG und wurde von einer letzten kantonalen Instanz gefällt ( Art. 86 Abs. 1 lit. d und Abs. 2 BGG ). Er schliesst das Strafverfahren nicht ab, sondern beinhaltet die Anweisung an die Staatsanwaltschaft, das Strafverfahren gegen den Beschwerdeführer fortzuführen. Es handelt sich somit um einen Zwischenentscheid.</w:t>
      </w:r>
    </w:p>
    <w:p>
      <w:r>
        <w:t>Der selbständig eröffnete Zwischenentscheid ist nur unter den Voraussetzungen von Art. 92 oder 93 BGG beim Bundesgericht anfechtbar. Da dieser weder die Zuständigkeit noch den Ausstand betrifft (vgl. Art. 92 BGG ), ist er nur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Der Beschwerdeführer hat im Einzelnen darzulegen, inwiefern die Beschwerdevoraussetzungen nach Art. 93 Abs. 1 BGG erfüllt sind, ansonsten auf die Beschwerde mangels hinreichender Begründung nicht einzutreten ist ( BGE 136 IV 92 E. 4 mit Hinweisen). Der Beschwerdeführer äussert sich zu den Beschwerdevoraussetzungen von Art. 93 BGG überhaupt nicht. Auf die Beschwerde ist deshalb mangels hinreichender Begründung nicht einzutreten.</w:t>
      </w:r>
    </w:p>
    <w:p>
      <w:r>
        <w:rPr>
          <w:b/>
        </w:rPr>
        <w:t>E. 2</w:t>
      </w:r>
    </w:p>
    <w:p>
      <w:r>
        <w:t>Die Beschwerde erweist sich im Übrigen als unbegründet. Ein nicht wieder gutzumachender Nachteil im Sinne von Art. 93 Abs. 1 lit. a BGG muss rechtlicher Natur sein. Das setzt voraus, dass er sich auch mit einem späteren günstigen Entscheid nicht oder nicht gänzlich beseitigen lässt. Die blosse Möglichkeit eines nicht wieder gutzumachenden Nachteils genügt; dagegen reichen rein tatsächliche Nachteile wie die Verfahrensverlängerung oder -verteuerung nicht aus ( BGE 137 IV 172 E. 2.1; 137 III 380 E. 1.2.1; je mit Hinweisen).</w:t>
      </w:r>
    </w:p>
    <w:p>
      <w:r>
        <w:rPr>
          <w:b/>
        </w:rPr>
        <w:t>E. 2.1</w:t>
      </w:r>
    </w:p>
    <w:p>
      <w:r>
        <w:t>Die rechtliche Wirkung des angefochtenen Entscheids erschöpft sich in einer Fortführung der von der Staatsanwaltschaft eröffneten Untersuchung. Wie die Einleitung des Vorverfahrens ( Art. 300 Abs. 2 StPO ), die Mitteilung über den Abschluss der Untersuchung ( Art. 318 Abs. 3 StPO ) oder die Anklageerhebung ( Art. 324 Abs. 2 StPO ) nicht anfechtbar sind, kann auch der Zwischenentscheid über die Fortführung der Untersuchung nicht Gegenstand eines selbständigen Beschwerdeverfahrens sein. Im Rahmen der eröffneten bzw. nun fortzuführenden Untersuchung stehen dem Beschwerdeführer alle prozessualen Rechte zur Verfügung, um sich gegen die seines Erachtens zu Unrecht erhobenen Tatvorwürfe zur Wehr zu setzen. Nach abgeschlossener Untersuchung wird die Staatsanwaltschaft zu entscheiden haben, ob sie einen Strafbefehl erlassen, Anklage erheben oder das Verfahren einstellen will (Art. 318 Abs. 1 i.V.m. Art. 2 Abs. 2 StPO ). Es steht somit fest, dass ein abschliessender Endentscheid ergehen wird, der seinerseits wiederum den ordentlichen Rechtsmitteln unterliegt. Auf die gegen den Zwischenentscheid gerichtete Beschwerde ist deshalb nicht einzutreten, ansonsten sich das Bundesgericht zweimal mit der gleichen Sache zu befassen hätte (vgl. BGE 135 II 30 E. 1.3.2).</w:t>
      </w:r>
    </w:p>
    <w:p>
      <w:r>
        <w:rPr>
          <w:b/>
        </w:rPr>
        <w:t>E. 2.2</w:t>
      </w:r>
    </w:p>
    <w:p>
      <w:r>
        <w:t>Eine Gutheissung der Beschwerde könnte zwar sofort einen Endentscheid herbeiführen und würde damit Aufwand an Zeit oder Kosten für ein Beweisverfahren ersparen (vgl. Art. 93 Abs. 1 lit. b BGG ). Dem steht aber nicht nur das Legalitätsprinzip ( Art. 2 StPO ), sondern auch der Untersuchungsgrundsatz ( Art. 6 StPO ) und die Pflicht zur Strafverfolgung ( Art. 7 StPO ) entgegen. Eine Nichtanhandnahme oder Einstellung durch die Staatsanwaltschaft kann grundsätzlich nur bei klarer Straflosigkeit bzw. offensichtlich fehlenden Prozessvoraussetzungen angeordnet werden. Bei der Beurteilung dieser Frage verfügen die Staatsanwaltschaft und die Vorinstanz über einen gewissen Spielraum, den das Bundesgericht mit Zurückhaltung überprüft ( BGE 138 IV 86 E. 4). Jedenfalls kann zum heutigen Zeitpunkt nicht davon ausgegangen werden, dass die gegenüber dem Beschwerdeführer erhobenen Tatvorwürfe klarerweise straflos sind.</w:t>
      </w:r>
    </w:p>
    <w:p>
      <w:r>
        <w:rPr>
          <w:b/>
        </w:rPr>
        <w:t>E. 3</w:t>
      </w:r>
    </w:p>
    <w:p>
      <w:r>
        <w:t>Aus diesen Gründen ist auf die Beschwerde nicht einzutreten.</w:t>
      </w:r>
    </w:p>
    <w:p>
      <w:r>
        <w:t>Bei diesem Verfahrensausgang sind die Kosten des bundesgerichtlichen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