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6B_39/2021 vom 25. Februar 2021</w:t>
      </w:r>
    </w:p>
    <w:p>
      <w:r>
        <w:t>Bundesgericht, 2021-02-25, DE</w:t>
      </w:r>
    </w:p>
    <w:p>
      <w:r>
        <w:rPr>
          <w:b/>
        </w:rPr>
        <w:t xml:space="preserve">Quelle: </w:t>
      </w:r>
      <w:r>
        <w:t>https://mcp.opencaselaw.ch/entscheid/bger_6B_39_2021</w:t>
      </w:r>
    </w:p>
    <w:p>
      <w:r>
        <w:t>FR: TF 6B_39/2021 du 25 février 2021</w:t>
      </w:r>
    </w:p>
    <w:p>
      <w:r>
        <w:t>IT: TF 6B_39/2021 del 25 febbraio 2021</w:t>
      </w:r>
    </w:p>
    <w:p>
      <w:pPr>
        <w:pStyle w:val="Heading2"/>
      </w:pPr>
      <w:r>
        <w:t>Erwägungen</w:t>
      </w:r>
    </w:p>
    <w:p>
      <w:r>
        <w:rPr>
          <w:b/>
        </w:rPr>
        <w:t>E. 1</w:t>
      </w:r>
    </w:p>
    <w:p>
      <w:r>
        <w:t>Die Vorinstanz wies mit Beschluss vom 8. Januar 2021 eine von der Beschwerdeführerin erhobene Beschwerde gegen eine Nichtanhandnahmeverfügung der Regionalen Staatsanwaltschaft Bern-Mittelland vom 17. Dezember 2020 ab. Die Beschwerdeführerin wendet sich mit zahlreichen Eingaben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Eine substanziierte Auseinandersetzung mit den Erwägungen der Vorinstanz fehlt. Den Ausführungen der Beschwerdeführerin vor Bundesgericht lässt sich nichts entnehmen, was auch nur einigermassen konkret und nachvollziehbar auf ein strafbares Verhalten der Beschuldigten hindeuten würde. Aus der Beschwerde ergibt sich nicht, inwieweit der angefochtene Beschluss, mit dem die Vorinstanz die Nichtanhandnahmeverfügung der Regionalen Staatsanwaltschaft schützt, gegen Bundesrecht verstossen könnte. Darüber hinaus äussert sich die Beschwerdeführerin auch nicht zu ihrer Legitimation als Privatklägerin.</w:t>
      </w:r>
    </w:p>
    <w:p>
      <w:r>
        <w:rPr>
          <w:b/>
        </w:rPr>
        <w:t>E. 4</w:t>
      </w:r>
    </w:p>
    <w:p>
      <w:r>
        <w:t>Auf die Beschwerde ist im Verfahren gemäss Art. 108 BGG mangels einer tauglichen Begründung nicht einzutreten. 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