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6B_39/2009 vom 12. Februar 2009</w:t>
      </w:r>
    </w:p>
    <w:p>
      <w:r>
        <w:t>Bundesgericht, 2009-02-12, DE</w:t>
      </w:r>
    </w:p>
    <w:p>
      <w:r>
        <w:rPr>
          <w:b/>
        </w:rPr>
        <w:t xml:space="preserve">Quelle: </w:t>
      </w:r>
      <w:r>
        <w:t>https://mcp.opencaselaw.ch/entscheid/bger_6B_39_2009</w:t>
      </w:r>
    </w:p>
    <w:p>
      <w:r>
        <w:t>FR: TF 6B_39/2009 du 12 février 2009</w:t>
      </w:r>
    </w:p>
    <w:p>
      <w:r>
        <w:t>IT: TF 6B_39/2009 del 12 febbraio 2009</w:t>
      </w:r>
    </w:p>
    <w:p>
      <w:pPr>
        <w:pStyle w:val="Heading2"/>
      </w:pPr>
      <w:r>
        <w:t>Erwägungen</w:t>
      </w:r>
    </w:p>
    <w:p>
      <w:r>
        <w:rPr>
          <w:b/>
        </w:rPr>
        <w:t>E. 1</w:t>
      </w:r>
    </w:p>
    <w:p>
      <w:r>
        <w:t>Im angefochtenen Entscheid wurde im Berufungsverfahren eine Ehrverletzungsklage des Beschwerdeführers abgewiesen, soweit darauf eingetreten werden konnte (Ziff. 1). Der Beschwerdeführer wurde verpflichtet, die Kosten des erstinstanzlichen Verfahrens, eine Verfahrensgebühr für das Berufungsverfahren sowie den Beschwerdegegnern eine Entschädigung für das gesamte Verfahren zu bezahlen (Ziff. 2 a - c).</w:t>
      </w:r>
    </w:p>
    <w:p>
      <w:r>
        <w:t>Gemäss Art. 42 Abs. 1 BGG haben Beschwerden ans Bundesgericht die Begehren und deren Begründung zu enthalten. Der Beschwerdeführer hat somit einen Antrag in der Sache zu stellen und anzugeben, welche Punkte des bemängelten Entscheids angefochten und welche Abänderungen beantragt werden. Das Bundesgericht darf nicht über diese Begehren hinausgehen ( Art. 107 Abs. 1 BGG ).</w:t>
      </w:r>
    </w:p>
    <w:p>
      <w:r>
        <w:t>Der Beschwerdeführer stellt sechs Begehren, die das kantonale Verfahren betreffen (Beschwerde S. 1/2). Begehren 3 und 5 betreffen die Genugtuung, die dem Beschwerdeführer zu bezahlen sei, sowie die Kosten der Gegendarstellung in einer Zeitschrift. Die übrigen Begehren 1, 2, 4 und 6 betreffen die Kosten- und Entschädigungsfolgen.</w:t>
      </w:r>
    </w:p>
    <w:p>
      <w:r>
        <w:t>Der Beschwerdeführer stellt kein Begehren um Verurteilung der Beschwerdegegner wegen Ehrverletzung. Folglich ist auf die Begehren 3 und 5 von vornherein nicht einzutreten.</w:t>
      </w:r>
    </w:p>
    <w:p>
      <w:r>
        <w:t>Die Kosten- und Entschädigungsfolgen des kantonalen Verfahrens richten sich nach dem kantonalen Recht. Der Beschwerdeführer legt nicht in einer den Voraussetzungen von Art. 42 Abs. 2 bzw. Art. 106 Abs. 2 BGG genügenden Weise dar, dass und inwieweit die Vorinstanz bei der Kosten- und Entschädigungsregelung das schweizerische Recht im Sinne von Art. 95 BGG verletzt bzw. gegen die Grundrechte des Beschwerdeführers verstossen haben könnte. Insoweit genügt die Beschwerde den Begründungsanforderungen nicht.</w:t>
      </w:r>
    </w:p>
    <w:p>
      <w:r>
        <w:t>Auf die Beschwerde ist im Verfahren nach Art. 108 BGG nicht einzutreten.</w:t>
      </w:r>
    </w:p>
    <w:p>
      <w:r>
        <w:rPr>
          <w:b/>
        </w:rPr>
        <w:t>E. 2</w:t>
      </w:r>
    </w:p>
    <w:p>
      <w:r>
        <w:t>Die Gerichtskosten sind dem Beschwerdeführer aufzuerlegen ( Art. 66 Abs. 1 BGG ). Den Beschwerdegegnern ist keine Entschädigung auszurichten, weil sie vor Bundesgericht keine Umtriebe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