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6B_399/2020 vom 20. Mai 2020</w:t>
      </w:r>
    </w:p>
    <w:p>
      <w:r>
        <w:t>Bundesgericht, 2020-05-20, DE</w:t>
      </w:r>
    </w:p>
    <w:p>
      <w:r>
        <w:rPr>
          <w:b/>
        </w:rPr>
        <w:t xml:space="preserve">Quelle: </w:t>
      </w:r>
      <w:r>
        <w:t>https://mcp.opencaselaw.ch/entscheid/bger_6B_399_2020</w:t>
      </w:r>
    </w:p>
    <w:p>
      <w:r>
        <w:t>FR: TF 6B_399/2020 du 20 mai 2020</w:t>
      </w:r>
    </w:p>
    <w:p>
      <w:r>
        <w:t>IT: TF 6B_399/2020 del 20 maggio 2020</w:t>
      </w:r>
    </w:p>
    <w:p>
      <w:pPr>
        <w:pStyle w:val="Heading2"/>
      </w:pPr>
      <w:r>
        <w:t>Erwägungen</w:t>
      </w:r>
    </w:p>
    <w:p>
      <w:r>
        <w:rPr>
          <w:b/>
        </w:rPr>
        <w:t>E. 1</w:t>
      </w:r>
    </w:p>
    <w:p>
      <w:r>
        <w:t>Die Beschwerdeführerin erstattete am 30. Januar 2020 Strafanzeige gegen B.________ wegen falscher Anschuldigung und Irreführung der Rechtspflege. Die Staatsanwaltschaft See/Oberland nahm am 11. Februar 2020 eine Strafuntersuchung nicht an die Hand. Eine dagegen gerichtete Beschwerde wies das Obergericht des Kantons Zürich am 23. März 2020 ab, soweit es es darauf eintrat.</w:t>
      </w:r>
    </w:p>
    <w:p>
      <w:r>
        <w:t>Die Beschwerdeführerin wendet sich an das Bundesgericht.</w:t>
      </w:r>
    </w:p>
    <w:p>
      <w:r>
        <w:rPr>
          <w:b/>
        </w:rPr>
        <w:t>E. 2</w:t>
      </w:r>
    </w:p>
    <w:p>
      <w:r>
        <w:t>In einer Beschwerde an das Bundesgericht ist unter Bezugnahme auf den angefochtenen Entscheid darzulegen, inwieweit dieser nach Meinung der Beschwerde führenden Partei gegen das Recht verstossen soll ( Art. 42 Abs. 2 BGG ).</w:t>
      </w:r>
    </w:p>
    <w:p>
      <w:r>
        <w:t>Die Privatklägerschaft ist zur Beschwerde in Strafsachen grundsätzlich nur berechtigt, wenn sich der angefochtene Entscheid auf die Beurteilung allfälliger, ihr durch die Straftat entstandener Zivilansprüche auswirken kann (Art. 81 Abs. 1 lit. b Ziff. 5 BGG; BGE 141 IV 1 E. 1.1).</w:t>
      </w:r>
    </w:p>
    <w:p>
      <w:r>
        <w:rPr>
          <w:b/>
        </w:rPr>
        <w:t>E. 3</w:t>
      </w:r>
    </w:p>
    <w:p>
      <w:r>
        <w:t>Die Beschwerde genügt den gesetzlichen Begründungsanforderungen nicht. Aus der Beschwerde ergibt sich nicht, inwieweit der angefochtene Beschluss, mit dem die Vorinstanz die Nichtanhandnahmeverfügung der Staatsanwaltschaft schützt, gegen Bundesrecht verstossen soll. Darüber hinaus äussert sich die Beschwerdeführerin auch nicht zu ihrer Legitimation als Privatklägerin.</w:t>
      </w:r>
    </w:p>
    <w:p>
      <w:r>
        <w:rPr>
          <w:b/>
        </w:rPr>
        <w:t>E. 4</w:t>
      </w:r>
    </w:p>
    <w:p>
      <w:r>
        <w:t>Auf die Beschwerde ist im Verfahren gemäss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