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397/2021 vom 24. Juni 2021</w:t>
      </w:r>
    </w:p>
    <w:p>
      <w:r>
        <w:t>Bundesgericht, 2021-06-24, DE</w:t>
      </w:r>
    </w:p>
    <w:p>
      <w:r>
        <w:rPr>
          <w:b/>
        </w:rPr>
        <w:t xml:space="preserve">Quelle: </w:t>
      </w:r>
      <w:r>
        <w:t>https://mcp.opencaselaw.ch/entscheid/bger_6B_397_2021</w:t>
      </w:r>
    </w:p>
    <w:p>
      <w:r>
        <w:t>FR: TF 6B 397/2021 du 24 juin 2021</w:t>
      </w:r>
    </w:p>
    <w:p>
      <w:r>
        <w:t>IT: TF 6B 397/2021 del 24 giugno 2021</w:t>
      </w:r>
    </w:p>
    <w:p>
      <w:pPr>
        <w:pStyle w:val="Heading2"/>
      </w:pPr>
      <w:r>
        <w:t>Regeste</w:t>
      </w:r>
    </w:p>
    <w:p>
      <w:r>
        <w:t>Einstellungsverfügung (Betrug) | Strafprozess</w:t>
      </w:r>
    </w:p>
    <w:p>
      <w:pPr>
        <w:pStyle w:val="Heading2"/>
      </w:pPr>
      <w:r>
        <w:t>Erwägungen</w:t>
      </w:r>
    </w:p>
    <w:p>
      <w:r>
        <w:rPr>
          <w:b/>
        </w:rPr>
        <w:t>E. 1</w:t>
      </w:r>
    </w:p>
    <w:p>
      <w:r>
        <w:t>Der Beschwerdeführer erstattete am 16. November 2020 Strafanzeige gegen den Bewirtschafter von ihm zur Mitbenutzung überlassener Parkplätze wegen "Betrug und Lügen". Die Staatsanwaltschaft Abteilung 3 Sursee stellte mit Verfügung vom 6. Januar 2021 das Strafverfahren ein. Auf die dagegen vom Beschwerdeführer erhobene Beschwerde trat die Vorinstanz am 23. März 2021 nicht ein. Der Beschwerdeführer gelangt gegen den Entscheid vom 23. März 2021 mit Beschwerde in Strafsachen an das Bundesgericht.</w:t>
      </w:r>
    </w:p>
    <w:p>
      <w:r>
        <w:rPr>
          <w:b/>
        </w:rPr>
        <w:t>E. 2.1</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hat mit ihrer Kritik an den als rechtsfehlerhaft erachteten Erwägungen der Vorinstanz anzusetzen ( BGE 140 III 115 E. 2).</w:t>
      </w:r>
    </w:p>
    <w:p>
      <w:r>
        <w:rPr>
          <w:b/>
        </w:rPr>
        <w:t>E. 2.2</w:t>
      </w:r>
    </w:p>
    <w:p>
      <w:r>
        <w:t>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und deshalb ordentlicherweise vor dem Zivilgericht durchgesetzt werden müssen ( BGE 141 IV 1 E. 1.1 S. 4). 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setzt sich weder mit den vorinstanzlichen Erwägungen auseinander, noch äussert er sich in der Sache zu seiner Beschwerdelegitimation und allfälligen Zivilforderungen. Dies wäre vorliegend insbesondere deshalb erforderlich gewesen, als der Beschwerdeführer selbst ausführt, bereits eine "Rückzahlung" von Fr. 2'200.- erhalten zu haben und nicht ersichtlich ist, inwiefern die darüber hinaus geltend gemachte Forderung über Fr. 3'400.- wegen angeblich zu viel gezahlter Miete und Rückerstattung einer geleisteten Mietkaution unmittelbare Folge der angezeigten Straftaten sein soll. Zudem ist offensichtlich, dass es sich vorliegend um eine rein zivilrechtliche Streitigkeit handelt. Das Strafverfahren darf aber nicht als blosses Vehikel zur Durchsetzung allfälliger zivilrechtlicher Ansprüche verwendet werden ( BGE 137 IV 246 E. 1.3.1).</w:t>
      </w:r>
    </w:p>
    <w:p>
      <w:r>
        <w:rPr>
          <w:b/>
        </w:rPr>
        <w:t>E. 4</w:t>
      </w:r>
    </w:p>
    <w:p>
      <w:r>
        <w:t>Auf die Beschwerde ist im Verfahren gemäss Art. 108 BGG nicht einzutreten. Auf eine Kostenauflage kann ausnahmsweise verzichtet werden ( Art. 66 Abs. 1 BGG ), womit das allenfalls implizit gestellte Gesuch um unentgeltliche Rechtspflege gegenstandslos würde.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