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395/2022 vom 9. Juni 2022</w:t>
      </w:r>
    </w:p>
    <w:p>
      <w:r>
        <w:t>Bundesgericht, 2022-06-09, FR</w:t>
      </w:r>
    </w:p>
    <w:p>
      <w:r>
        <w:rPr>
          <w:b/>
        </w:rPr>
        <w:t xml:space="preserve">Quelle: </w:t>
      </w:r>
      <w:r>
        <w:t>https://mcp.opencaselaw.ch/entscheid/bger_6B_395_2022</w:t>
      </w:r>
    </w:p>
    <w:p>
      <w:r>
        <w:t>FR: TF 6B 395/2022 du 9 juin 2022</w:t>
      </w:r>
    </w:p>
    <w:p>
      <w:r>
        <w:t>IT: TF 6B 395/2022 del 9 giugno 2022</w:t>
      </w:r>
    </w:p>
    <w:p>
      <w:pPr>
        <w:pStyle w:val="Heading2"/>
      </w:pPr>
      <w:r>
        <w:t>Regeste</w:t>
      </w:r>
    </w:p>
    <w:p>
      <w:r>
        <w:t>Détention pour des motifs de sûreté, mesure de substitution | Exécution des peines et des mesures</w:t>
      </w:r>
    </w:p>
    <w:p>
      <w:pPr>
        <w:pStyle w:val="Heading2"/>
      </w:pPr>
      <w:r>
        <w:t>Erwägungen</w:t>
      </w:r>
    </w:p>
    <w:p>
      <w:r>
        <w:rPr>
          <w:b/>
        </w:rPr>
        <w:t>E. 1</w:t>
      </w:r>
    </w:p>
    <w:p>
      <w:r>
        <w:t>Par arrêt du 2 mars 2022, la Chambre des recours pénale du Tribunal cantonal vaudois a déclaré irrecevable le recours formé par A.________ contre l'ordonnance rendue le 4 février 2022 par le Tribunal des mesures de contrainte, laquelle constatait que les conditions de la détention pour des motifs de sûreté du prénommé étaient remplies et ordonnait, en lieu et place de la détention pour des motifs de sûreté, une mesure de substitution à forme de la poursuite du placement de A.________ au sein de l'Établissement B.________ ou de toute autre institution ou établissement jugé approprié par l'Office d'exécution des peines du canton de Vaud (OEP).</w:t>
      </w:r>
    </w:p>
    <w:p>
      <w:r>
        <w:rPr>
          <w:b/>
        </w:rPr>
        <w:t>E. 2</w:t>
      </w:r>
    </w:p>
    <w:p>
      <w:r>
        <w:t>Par acte daté du 11 mars 2022, A.________ a formé un recours au Tribunal fédéral contre l'arrêt précité, exigeant la désignation d'un avocat. Par correspondance du 23 mars 2022, A.________ s'est vu rappeler les conditions de recevabilité d'un recours en matière pénale. Il lui a également été rappelé que, conformément à sa pratique constante, la Cour de céans ne désignait pas elle-même d'avocat et qu'il lui appartenait d'en mandater un, charge pour celui-ci, le cas échéant, de requérir sa désignation en qualité de conseil d'office. Il lui a également été précisé que le délai de recours n'apparaissait, alors, pas encore échu, et qu'il lui était loisible de déposer ou de faire déposer un mémoire de recours en bonne et due forme, avant l'échéance dudit délai, à défaut de quoi il serait statué en l'état de ses écritures. A.________ n'a donné aucune suite à cette correspondance.</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p. 81; 143 IV 241 consid. 2.3.1 p. 244)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147 IV 73 consid. 4.1.2 p. 81; 146 IV 114 consid. 2.1 p. 118; 145 IV 154 consid. 1.1 p. 156). En l'espèce, le recourant semble se plaindre, sans plus de développements, des constatations cantonales et faire valoir que des documents n'auraient pas été pris en compte, sans que l'on parvienne toutefois à discerner à quoi il fait référence. Il se limite essentiellement à qualifier la décision attaquée de "vulgaire copié-collé". Son écriture s'avère en réalité exempte de toute critique topique des considérants de cette dernière. Elle ne répond dès lors pas aux exigences de motivation d'un recours en matière pénale au Tribunal fédéral (art. 42 al. 2 et 106 al. 2 LTF).</w:t>
      </w:r>
    </w:p>
    <w:p>
      <w:r>
        <w:rPr>
          <w:b/>
        </w:rPr>
        <w:t>E. 4</w:t>
      </w:r>
    </w:p>
    <w:p>
      <w:r>
        <w:t>Au vu de ce qui précède, le recours doit être déclaré irrecevable en application de l' art. 108 al. 1 let. b LTF . Le présent arrêt est exceptionnellement rendu sans frais (art. 66 al. 1, 2 e phrase, LTF).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