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6B_395/2015 vom 25. November 2015</w:t>
      </w:r>
    </w:p>
    <w:p>
      <w:r>
        <w:t>Bundesgericht, 2015-11-25, FR</w:t>
      </w:r>
    </w:p>
    <w:p>
      <w:r>
        <w:rPr>
          <w:b/>
        </w:rPr>
        <w:t xml:space="preserve">Quelle: </w:t>
      </w:r>
      <w:r>
        <w:t>https://mcp.opencaselaw.ch/entscheid/bger_6B_395_2015</w:t>
      </w:r>
    </w:p>
    <w:p>
      <w:r>
        <w:t>FR: TF 6B_395/2015 du 25 novembre 2015</w:t>
      </w:r>
    </w:p>
    <w:p>
      <w:r>
        <w:t>IT: TF 6B_395/2015 del 25 novembre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Confirmant l'ordonnance de non-entrée en matière rendue par le Ministère public, elle a un caractère final ( art. 90 LTF ) et émane de l'autorité cantonale de dernière instance ( art. 80 LTF ). Le recourant a en outre agi en temps utile (art. 46 al. 1 let. a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A cet égard, le recourant fait valoir un dommage matériel, comprenant la valeur de ses biens mobiliers informatiques (3'500 fr.), la dépréciation de ceux-ci (non chiffrée), leur valeur de rachat (1'100 fr.), celle du travail de programmation réalisé sur chacun de ces appareils (non chiffrée) et le gain manqué lié à l'absence de ses biens (36'650 fr.). Ce préjudice - que le recourant entend réclamer dans le cadre de la procédure pénale - résulterait de la non-restitution - alléguée illicite - du matériel informatique remis à l'intimé par le recourant dans le cadre de l'organisation de la soirée du premier; ce faisant, l'intimé se serait approprié de manière illégitime les biens du recourant (cf. art. 137 CP ). Dans le cadre de la recevabilité, ces éléments sont suffisants et, partant, il y a lieu d'entrer en matière.</w:t>
      </w:r>
    </w:p>
    <w:p>
      <w:r>
        <w:rPr>
          <w:b/>
        </w:rPr>
        <w:t>E. 2</w:t>
      </w:r>
    </w:p>
    <w:p>
      <w:r>
        <w:t>Invoquant des violations de l' art. 310 al. 1 let. a CPP , du principe "in dubio pro duriore" et de celui de l'interdiction de l'arbitraire, le recourant reproche à l'autorité précédente d'avoir considéré que les conditions de l' art. 137 CP - notamment celles de l'appropriation et du dessein d'enrichissement - ne seraient pas réalisées. Ne remettant pas en cause la remise volontaire des appareils informatiques, il soutient en revanche que l'absence de restitution et l'utilisation du matériel informatique par l'intimé démontreraient la volonté de ce dernier de s'approprier ses biens.</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"in dubio pro duriore"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86 consid. 4.1.2 p. 91).</w:t>
      </w:r>
    </w:p>
    <w:p>
      <w:r>
        <w:rPr>
          <w:b/>
        </w:rPr>
        <w:t>E. 2.2</w:t>
      </w:r>
    </w:p>
    <w:p>
      <w:r>
        <w:t>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t>Cette disposition présuppose notamment l'appropriation d'une chose mobilière appartenant à autrui ( BERNARD CORBOZ, Les infractions en droit suisse, vol. I, 3è éd. 2010, nos 9 ss ad art. 137 CP ), ainsi qu'un dessein d'enrichissement illégitime de la part de l'auteur ( CORBOZ, op. cit., nos 15 s. ad art. 137 CP ).</w:t>
      </w:r>
    </w:p>
    <w:p>
      <w:r>
        <w:t>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Il n'y a pas d'appropriation si d'emblée l'auteur veut rendre la chose intacte après un acte d'utilisation. Elle intervient cependant sans droit lorsque l'auteur ne peut la justifier par une prétention qui lui soit reconnue par l'ordre juridique ( CORBOZ, op. cit., n° 11 ad art. 137 CP ).</w:t>
      </w:r>
    </w:p>
    <w:p>
      <w:r>
        <w:t>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 ATF 121 IV 104 consid. 2c p. 107 et les références citées; Corboz, op. cit., n° 15 ad art. 137 CP renvoyant aux nos 10 ss ad art. 138 CP ).</w:t>
      </w:r>
    </w:p>
    <w:p>
      <w:r>
        <w:rPr>
          <w:b/>
        </w:rPr>
        <w:t>E. 2.3</w:t>
      </w:r>
    </w:p>
    <w:p>
      <w:r>
        <w:t>La cour cantonale a constaté que les appareils litigieux avaient été remis volontairement à l'intimé par le recourant et que le premier ne les avait pas restitués au second à l'issue du contrat. Elle a cependant retenu qu'aucun élément au dossier ne permettait de penser que, à un quelconque moment, l'intimé aurait eu l'intention de les incorporer à son patrimoine, ni qu'il aurait utilisé le serveur, le routeur et/ou la carte interface postérieurement à la soirée pour laquelle il avait fait appel au recourant. Relevant que l'intimé n'avait pas remis le routeur et la carte interface au Service des pièces à conviction, l'autorité précédente a toutefois considéré que cela ne signifiait pas que celui-ci s'en considérait comme le propriétaire dès lors qu'il avait d'emblée fait valoir sur ce matériel un droit de rétention correspondant à celui de l' art. 895 al. 1 CC ; les conditions d'application de cette dernière disposition semblaient d'ailleurs réalisées (créance exigible envers le recourant et concrétisée par une demande en justice). La juridiction cantonale a enfin relevé que le recourant n'avait pas allégué que les appareils retenus seraient d'une valeur supérieure au montant réclamé par l'intimé, ce qui aurait pu fonder le soupçon d'une infraction de contrainte.</w:t>
      </w:r>
    </w:p>
    <w:p>
      <w:r>
        <w:rPr>
          <w:b/>
        </w:rPr>
        <w:t>E. 2.4</w:t>
      </w:r>
    </w:p>
    <w:p>
      <w:r>
        <w:t>Ce raisonnement ne prête pas le flanc à la critique. Cela vaut en particulier eu égard aux propres déclarations du recourant. En effet, dès le dépôt de sa plainte pénale en janvier 2011, il mentionnait que l'intimé lui avait dit être "en droit de retenir [le] matériel" et que si le recourant entendait le récupérer, il devait lui payer la somme de 20'000 francs. Ce faisant, le recourant démontre qu'il n'ignorait pas la cause de la non-restitution des objets, même si le terme juridique de "droit de rétention" n'avait peut-être pas été formellement soulevé (cf. également le libellé du commandement de payer adressé au recourant le 12 janvier 2011 ["mauvaise exécution et inexécution du contrat du 21.09.2010 et dommages y relatifs" pour un montant de 10'281 fr. 50]). L'intimé n'avait ainsi aucune intention de s'approprier, même de manière temporaire, les biens du recourant; le premier entendait uniquement par ce biais garantir ses éventuelles prétentions en inexécution du contrat qui le liait au second. Cette volonté a d'ailleurs été confirmée par l'intimé lors de son audition du 7 novembre 2013 (cf. aussi les conclusions reconventionnelles prises devant la juridiction civile). La séance d'instruction susmentionnée étant par ailleurs intervenue ultérieurement au prononcé du 31 mai 2011 de la Chambre des recours pénale dans la cause P/zz, ce jugement n'est d'aucune utilité pour le recourant; en effet, la cour statuait alors préalablement à l'achèvement de la procédure P/xx, ne disposant ainsi pas de tous les éléments y relatifs.</w:t>
      </w:r>
    </w:p>
    <w:p>
      <w:r>
        <w:t>Le recourant soutient encore en substance que le contrat conclu ne portait que sur la location du serveur, ce qui limiterait un possible droit de rétention à cet appareil (cf. notamment ad 28 de son mémoire, p. 13). Il n'expose pourtant pas pour quelle autre raison il aurait dès lors remis - de manière incontestée volontaire - le routeur et la carte interface à l'intimé, explication qui, le cas échéant, aurait pu justifier son droit à la restitution et peut-être démontrer une appropriation illégitime de ces objets par l'intimé. Une telle conclusion ne résulte pas non plus de la seule affirmation, sans démonstration, d'une possible utilisation ultérieure de ces appareils; au demeurant, cette allégation ne paraît concerner que le serveur (possible retrait des données personnelles résultant de l'utilisation convenue), objet déposé auprès des autorités et dont la restitution n'est en soi pas remise en cause.</w:t>
      </w:r>
    </w:p>
    <w:p>
      <w:r>
        <w:t>Aucun élément ne permet donc de retenir que l'intimé aurait eu le dessein de s'approprier, même temporairement, les trois objets en cause, ainsi que de s'enrichir. Partant, c'est à juste titre et sans violer le principe "in dubio pro duriore" que la Chambre pénale de recours a confirmé l'ordonnance de non-entrée en matière rendue par le Procureur ( art. 310 al. 1 let. a CPP ) et ce grief doit être rejeté.</w:t>
      </w:r>
    </w:p>
    <w:p>
      <w:r>
        <w:rPr>
          <w:b/>
        </w:rPr>
        <w:t>E. 2.5</w:t>
      </w:r>
    </w:p>
    <w:p>
      <w:r>
        <w:t>La cour cantonale ne viole pas non plus le principe d'égalité de traitement ( art. 8 Cst. ) en donnant une conclusion différente à la présente cause (P/xx) de celle à laquelle a abouti la procédure P/zz. En effet, si les mêmes parties et des chefs d'infraction similaires y sont examinés, les faits sont en revanche différents. Ainsi, dans la cause P/zz, il a notamment été établi - par ailleurs de manière définitive - que l'objet non restitué (ordinateur APPLE) n'avait pas été confié volontairement au recourant, élément qui suffit à constater que ladite situation diffère de celle objet de la présente procédure.</w:t>
      </w:r>
    </w:p>
    <w:p>
      <w:r>
        <w:rPr>
          <w:b/>
        </w:rPr>
        <w:t>E. 3</w:t>
      </w:r>
    </w:p>
    <w:p>
      <w:r>
        <w:t>Le recourant reproche encore à l'autorité précédente une violation de l' art. 136 CPP en ayant retenu que sa démarche était d'emblée vouée à l'échec et que la cause ne présentait pas de difficultés telles qu'il n'aurait pu les surmonter seul. Le recourant soutient également qu'il aurait démontré sa situation financière et que, si tel n'était pas le cas, la cour cantonale aurait fait preuve de formalisme excessif en ne l'invitant pas à la préciser.</w:t>
      </w:r>
    </w:p>
    <w:p>
      <w:r>
        <w:t>La question de la possible indigence du recourant peut rester indécise. En effet, s'agissant de celle relative aux chances de succès, le recourant ne démontre pas en quoi le raisonnement tenu par la cour cantonale serait erroné (cf. art. 42 al. 2 LTF ). Ainsi, il se limite à se référer à la jurisprudence en matière d'assistance judiciaire (cf. art. 136 al. 1 let. b CPP ; sur la notion de chances de succès, voir notamment l' ATF 138 III 217 consid. 2.2.4 p. 218; arrêt 1B_173/2014 du 17 juillet 2014 consid. 3.1.1 et les références citées), sans expliquer quelles problématiques liées à sa propre situation - en fait et/ou en droit - justifieraient de lui accorder le bénéfice de l'assistance judiciaire, respectivement de lui désigner un avocat d'office. En particulier, de possibles difficultés dans la présente cause ne résultent pas du dommage allégué découlant de l'infraction dénoncée, ni de sa condamnation dans la procédure P/zz ou de la procédure civile l'opposant à l'intimé.</w:t>
      </w:r>
    </w:p>
    <w:p>
      <w:r>
        <w:t>Par conséquent, la Chambre pénale de recours n'a pas violé le droit fédéral en rejetant sa requête d'assistance judiciaire et ce grief doit être rejeté.</w:t>
      </w:r>
    </w:p>
    <w:p>
      <w:r>
        <w:rPr>
          <w:b/>
        </w:rPr>
        <w:t>E. 4</w:t>
      </w:r>
    </w:p>
    <w:p>
      <w:r>
        <w:t>Il s'ensuit que le recours est rejeté.</w:t>
      </w:r>
    </w:p>
    <w:p>
      <w:r>
        <w:t>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 Il n'est pas alloué de dépens ( art. 68 al. 1 et 3 LTF ), l'intimé n'ayant notamment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