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6B_395/2007 vom 14. November 2007</w:t>
      </w:r>
    </w:p>
    <w:p>
      <w:r>
        <w:t>Bundesgericht, 2007-11-14, FR</w:t>
      </w:r>
    </w:p>
    <w:p>
      <w:r>
        <w:rPr>
          <w:b/>
        </w:rPr>
        <w:t xml:space="preserve">Quelle: </w:t>
      </w:r>
      <w:r>
        <w:t>https://mcp.opencaselaw.ch/entscheid/bger_6B_395_2007</w:t>
      </w:r>
    </w:p>
    <w:p>
      <w:r>
        <w:t>FR: TF 6B_395/2007 du 14 novembre 2007</w:t>
      </w:r>
    </w:p>
    <w:p>
      <w:r>
        <w:t>IT: TF 6B_395/2007 del 14 novembre 2007</w:t>
      </w:r>
    </w:p>
    <w:p>
      <w:pPr>
        <w:pStyle w:val="Heading2"/>
      </w:pPr>
      <w:r>
        <w:t>Erwägungen</w:t>
      </w:r>
    </w:p>
    <w:p>
      <w:r>
        <w:rPr>
          <w:b/>
        </w:rPr>
        <w:t>E. 1</w:t>
      </w:r>
    </w:p>
    <w:p>
      <w:r>
        <w:t>Le présent recours est recevable au regard des art. 78 à 81 LTF.</w:t>
      </w:r>
    </w:p>
    <w:p>
      <w:r>
        <w:rPr>
          <w:b/>
        </w:rPr>
        <w:t>E. 2</w:t>
      </w:r>
    </w:p>
    <w:p>
      <w:r>
        <w:t>Le recours peut notamment être formé pour violation du droit fédéral ( art. 95 let. a LTF ), y compris les droits constitutionnels. Sous peine d'irrecevabilité, il doit être motivé conformément à l' art. 42 al. 2 LTF , respectivement à l' art. 106 al. 2 LTF pour les griefs mentionnés à cette disposition, dont les exigences correspondent à celles qui résultaient de l' art. 90 al. 1 let. b OJ pour le recours de droit public (arrêt 6B_178/2007, du 23 juillet 2007, consid. 1.4, destiné à la publication, et les références citées).</w:t>
      </w:r>
    </w:p>
    <w:p>
      <w:r>
        <w:rPr>
          <w:b/>
        </w:rPr>
        <w:t>E. 3</w:t>
      </w:r>
    </w:p>
    <w:p>
      <w:r>
        <w:t>Le Tribunal fédéral statue sur la base des faits établis par l'autorité précédente ( art. 105 al. 1 LTF ). Il ne peut s'en écarter que s'il est amené à rectifier ou compléter d'office l'état de fait de la décision attaquée, à raison de lacunes ou d'erreurs qui apparaissent d'emblée manifestes ( art. 105 al. 2 LTF ; arrêts 6B_146/2007, du 24 août 2007, consid. 3.4 et 6B_178/2007, du 23 juillet 2007, consid. 6.2, destinés à la publication) ou si le recourant démontre, de manière substantiée, que les faits ont été établis de façon manifestement inexacte ou en violation du droit au sens de l' art. 95 LTF et que la correction du vice est susceptible d'influer sur le sort de la cause ( art. 97 al. 1 LTF ; arrêts 1C_64/2007, du 2 juillet 2007, consid. 5.1 et 6B_15/2007, du 9 mai 2007, consid. 6.5).</w:t>
      </w:r>
    </w:p>
    <w:p>
      <w:r>
        <w:rPr>
          <w:b/>
        </w:rPr>
        <w:t>E. 4</w:t>
      </w:r>
    </w:p>
    <w:p>
      <w:r>
        <w:t>Le recourant se plaint d'une violation de l' art. 157 CP . Il soutient qu'il n'a jamais passé de contrat avec la victime, qu'il se serait borné à tromper en vue d'en obtenir le maximum d'argent, sans qu'il soit question d'une contre-prestation. L'usure serait donc exclue et une escroquerie ne saurait être retenue, faute d'inculpation du chef de cette infraction et, au demeurant, d'astuce.</w:t>
      </w:r>
    </w:p>
    <w:p>
      <w:r>
        <w:rPr>
          <w:b/>
        </w:rPr>
        <w:t>E. 4.1</w:t>
      </w:r>
    </w:p>
    <w:p>
      <w:r>
        <w:t>Sur le plan objectif, l'usure, au sens de l' art. 157 ch. 1 al. 1 CP , suppose d'abord que la victime se soit trouvée dans l'une des situations de faiblesse énumérées exhaustivement par cette disposition, à savoir la gêne, la dépendance, l'inexpérience ou la faiblesse de la capacité de jugement. Il faut ensuite que l'auteur ait exploité cette situation de faiblesse en vue de se faire accorder ou promettre, pour lui-même ou pour un tiers, un avantage pécuniaire.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(cf. ATF 130 IV 106 consid. 7.2 p. 108/109).</w:t>
      </w:r>
    </w:p>
    <w:p>
      <w:r>
        <w:t>La gêne ne doit pas nécessairement être de nature économique; il suffit que la victime se soit trouvée dans une situation contraignante telle qu'elle réduit sa liberté de décision, au point qu'elle est prête à fournir une prestation ( ATF 92 IV 132 consid. 2 p. 137). L'exploitation de la situation de faiblesse dans laquelle se trouve la victime consiste dans l'utilisation consciente de cette situation, en vue de l'obtention d'un avantage pécuniaire ( ATF 92 IV 106 consid. 3 p. 109). L'usure implique un contrat onéreux; l'avantage fourni ou promis doit l'avoir été en échange d'une prestation ( ATF 130 IV 106 consid. 7.2 p. 109; 111 IV 139 consid. 3c p. 142). Pour déterminer si l'avantage pécuniaire obtenu est en disproportion évidente avec la prestation fournie ou promise, il y a lieu de procéder à une évaluation objective ( ATF 130 IV 106 consid. 7.2 p. 109), en recherchant la valeur patrimoniale effective de la prestation, calculée en tenant compte de toutes les circonstances ( ATF 93 IV 85 consid. 2 p. 88).</w:t>
      </w:r>
    </w:p>
    <w:p>
      <w:r>
        <w:rPr>
          <w:b/>
        </w:rPr>
        <w:t>E. 4.2</w:t>
      </w:r>
    </w:p>
    <w:p>
      <w:r>
        <w:t>Avec raison, au vu des faits retenus et de la jurisprudence précitée, le recourant ne nie pas que la victime se trouvait dans une situation de faiblesse, ni qu'il a utilisé consciemment, donc exploité, cette situation pour obtenir les sommes d'argent qu'elle lui a remises. Il conteste vainement que l'avantage fourni l'a été en échange d'une prestation, tant il est manifeste qu'il l'a obtenu sur la base d'une annonce offrant, à l'évidence contre paiement, de résoudre les problèmes du genre de ceux que connaissait la victime et que, sans cela, cette dernière ne lui aurait pas remis l'argent. Il a par ailleurs été admis à juste titre, et cela n'est du reste pas contesté, que l'avantage concédé, au total plus de 60'000 fr., était disproportionné au regard de la prestation offerte, et que c'est en raison de la situation de faiblesse de la victime que le recourant a pu l'obtenir. Pour le surplus, il n'est pas contestable que le recourant a agi intentionnellement, à tout le moins par dol éventuel. Il n'ignorait manifestement pas que la victime se trouvait dans une situation de faiblesse, ni qu'il lui réclamait des sommes largement excessives en contrepartie de la prestation offerte, et il a en tout cas envisagé et accepté que, en raison de cette situation, elle consentirait néanmoins à lui payer ces sommes. Les conditions de l'infraction litigieuse sont donc réalisées.</w:t>
      </w:r>
    </w:p>
    <w:p>
      <w:r>
        <w:rPr>
          <w:b/>
        </w:rPr>
        <w:t>E. 5</w:t>
      </w:r>
    </w:p>
    <w:p>
      <w:r>
        <w:t>La conclusion du recourant tendant à la non révocation du sursis qui lui avait été accordé le 30 septembre 2003 n'est pas motivée par une argumentation spécifique. Il ne la formule que comme conséquence du bien-fondé prétendu de son grief de violation de l' art. 157 CP . Il n'y a dès lors pas lieu d'entrer en matière, faute de motivation suffisante au regard des exigences minimales de l' art. 42 al. 2 LTF .</w:t>
      </w:r>
    </w:p>
    <w:p>
      <w:r>
        <w:rPr>
          <w:b/>
        </w:rPr>
        <w:t>E. 6</w:t>
      </w:r>
    </w:p>
    <w:p>
      <w:r>
        <w:t>Le recours doit ainsi être rejeté dans la mesure où il est recevable. Comme il était d'emblée voué à l'échec, l'assistance judiciaire ne peut être accordée (cf. art. 64 al. 1 LTF ). Le recourant devra donc supporter les frais ( art. 66 al. 1 LTF ), dont le montant sera toutefois arrêté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